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0A37718C" w:rsidR="00E90E49" w:rsidRPr="00CE0424" w:rsidRDefault="00E90E49" w:rsidP="000E0F2D">
      <w:pPr>
        <w:pStyle w:val="3GPPHeader"/>
        <w:rPr>
          <w:sz w:val="32"/>
          <w:szCs w:val="32"/>
          <w:highlight w:val="yellow"/>
        </w:rPr>
      </w:pPr>
      <w:r w:rsidRPr="00CE0424">
        <w:t>3GPP TSG-RAN WG</w:t>
      </w:r>
      <w:r w:rsidR="008F1C4E">
        <w:t>1</w:t>
      </w:r>
      <w:r w:rsidRPr="00CE0424">
        <w:t xml:space="preserve"> </w:t>
      </w:r>
      <w:r w:rsidR="008F1C4E">
        <w:t xml:space="preserve">Meeting </w:t>
      </w:r>
      <w:r w:rsidRPr="00CE0424">
        <w:t>#</w:t>
      </w:r>
      <w:r w:rsidR="0083546B">
        <w:t>10</w:t>
      </w:r>
      <w:r w:rsidR="00A608D2">
        <w:t>9</w:t>
      </w:r>
      <w:r w:rsidR="0083546B">
        <w:t>-e</w:t>
      </w:r>
      <w:r w:rsidRPr="00CE0424">
        <w:tab/>
      </w:r>
      <w:proofErr w:type="spellStart"/>
      <w:r w:rsidRPr="00CE0424">
        <w:rPr>
          <w:sz w:val="32"/>
          <w:szCs w:val="32"/>
        </w:rPr>
        <w:t>Tdoc</w:t>
      </w:r>
      <w:proofErr w:type="spellEnd"/>
      <w:r w:rsidRPr="00CE0424">
        <w:rPr>
          <w:sz w:val="32"/>
          <w:szCs w:val="32"/>
        </w:rPr>
        <w:t xml:space="preserve"> </w:t>
      </w:r>
      <w:r w:rsidR="00F85350" w:rsidRPr="00F85350">
        <w:rPr>
          <w:sz w:val="32"/>
          <w:szCs w:val="32"/>
        </w:rPr>
        <w:t>R1-2204031</w:t>
      </w:r>
    </w:p>
    <w:p w14:paraId="3086AC07" w14:textId="61029089" w:rsidR="00E90E49" w:rsidRPr="006F2D81" w:rsidRDefault="006F2D81" w:rsidP="000E0F2D">
      <w:pPr>
        <w:pStyle w:val="3GPPHeader"/>
        <w:rPr>
          <w:lang w:val="en-GB"/>
        </w:rPr>
      </w:pPr>
      <w:bookmarkStart w:id="0" w:name="_Hlk95477661"/>
      <w:r w:rsidRPr="006F2D81">
        <w:t xml:space="preserve">e-Meeting, </w:t>
      </w:r>
      <w:r w:rsidR="001557DB">
        <w:t>May 9</w:t>
      </w:r>
      <w:r w:rsidR="001557DB" w:rsidRPr="001557DB">
        <w:rPr>
          <w:vertAlign w:val="superscript"/>
        </w:rPr>
        <w:t>th</w:t>
      </w:r>
      <w:r w:rsidR="001557DB">
        <w:t xml:space="preserve"> – 20</w:t>
      </w:r>
      <w:r w:rsidR="001557DB" w:rsidRPr="001557DB">
        <w:rPr>
          <w:vertAlign w:val="superscript"/>
        </w:rPr>
        <w:t>th</w:t>
      </w:r>
      <w:r w:rsidR="001557DB">
        <w:t>,</w:t>
      </w:r>
      <w:r w:rsidR="00DB0136">
        <w:t xml:space="preserve"> 2022</w:t>
      </w:r>
    </w:p>
    <w:bookmarkEnd w:id="0"/>
    <w:p w14:paraId="3982483C" w14:textId="6CD80C46" w:rsidR="00E90E49" w:rsidRPr="000D19DE" w:rsidRDefault="00E90E49" w:rsidP="000E0F2D">
      <w:pPr>
        <w:pStyle w:val="3GPPHeader"/>
      </w:pPr>
      <w:r w:rsidRPr="000D19DE">
        <w:t>Agenda Item:</w:t>
      </w:r>
      <w:r w:rsidRPr="000D19DE">
        <w:tab/>
      </w:r>
      <w:r w:rsidR="00AE5153" w:rsidRPr="000D19DE">
        <w:t>8.1.1</w:t>
      </w:r>
    </w:p>
    <w:p w14:paraId="5619E868" w14:textId="77777777" w:rsidR="00E90E49" w:rsidRPr="00CE0424" w:rsidRDefault="003D3C45" w:rsidP="000E0F2D">
      <w:pPr>
        <w:pStyle w:val="3GPPHeader"/>
      </w:pPr>
      <w:r>
        <w:t>Source:</w:t>
      </w:r>
      <w:r w:rsidR="00E90E49" w:rsidRPr="00CE0424">
        <w:tab/>
      </w:r>
      <w:r w:rsidR="00F64C2B" w:rsidRPr="00CE0424">
        <w:t>Ericsson</w:t>
      </w:r>
    </w:p>
    <w:p w14:paraId="3AF5C9FA" w14:textId="04E60048" w:rsidR="00E90E49" w:rsidRPr="00AE5153" w:rsidRDefault="003D3C45" w:rsidP="000E0F2D">
      <w:pPr>
        <w:pStyle w:val="3GPPHeader"/>
        <w:rPr>
          <w:lang w:val="en-GB"/>
        </w:rPr>
      </w:pPr>
      <w:r>
        <w:t>Title:</w:t>
      </w:r>
      <w:r w:rsidR="00E90E49" w:rsidRPr="00CE0424">
        <w:tab/>
      </w:r>
      <w:r w:rsidR="009927DF">
        <w:t>Maintenance of</w:t>
      </w:r>
      <w:r w:rsidR="00B22AD1">
        <w:t xml:space="preserve"> multi-beam enhancements</w:t>
      </w:r>
    </w:p>
    <w:p w14:paraId="2D5672ED" w14:textId="68338512" w:rsidR="00E90E49" w:rsidRPr="00CE0424" w:rsidRDefault="00E90E49" w:rsidP="00797F46">
      <w:pPr>
        <w:pStyle w:val="3GPPHeader"/>
      </w:pPr>
      <w:r w:rsidRPr="00CE0424">
        <w:t>Document for:</w:t>
      </w:r>
      <w:r w:rsidRPr="00CE0424">
        <w:tab/>
      </w:r>
      <w:r w:rsidRPr="00203A6F">
        <w:t>Discussion</w:t>
      </w:r>
    </w:p>
    <w:p w14:paraId="6883CB62" w14:textId="77777777" w:rsidR="00E90E49" w:rsidRPr="00CE0424" w:rsidRDefault="00230D18" w:rsidP="00CE0424">
      <w:pPr>
        <w:pStyle w:val="Heading1"/>
      </w:pPr>
      <w:r>
        <w:t>1</w:t>
      </w:r>
      <w:r>
        <w:tab/>
      </w:r>
      <w:r w:rsidR="00E90E49" w:rsidRPr="00CE0424">
        <w:t>Introduction</w:t>
      </w:r>
    </w:p>
    <w:p w14:paraId="5D7380CC" w14:textId="3C2BA1D0" w:rsidR="00BF1E70" w:rsidRPr="006E062B" w:rsidRDefault="006E062B" w:rsidP="000E0F2D">
      <w:pPr>
        <w:pStyle w:val="BodyText"/>
      </w:pPr>
      <w:r w:rsidRPr="006E062B">
        <w:t xml:space="preserve">During RAN#92e, </w:t>
      </w:r>
      <w:r w:rsidR="00BF1E70" w:rsidRPr="006E062B">
        <w:t xml:space="preserve">a </w:t>
      </w:r>
      <w:r w:rsidRPr="006E062B">
        <w:t xml:space="preserve">revised WID for Rel-17 </w:t>
      </w:r>
      <w:proofErr w:type="spellStart"/>
      <w:r w:rsidRPr="006E062B">
        <w:t>feMIMO</w:t>
      </w:r>
      <w:proofErr w:type="spellEnd"/>
      <w:r w:rsidRPr="006E062B">
        <w:t xml:space="preserve"> was agreed. </w:t>
      </w:r>
      <w:r w:rsidRPr="006E062B">
        <w:fldChar w:fldCharType="begin"/>
      </w:r>
      <w:r w:rsidRPr="006E062B">
        <w:instrText xml:space="preserve"> REF _Ref31185007 \r \h </w:instrText>
      </w:r>
      <w:r>
        <w:instrText xml:space="preserve"> \* MERGEFORMAT </w:instrText>
      </w:r>
      <w:r w:rsidRPr="006E062B">
        <w:fldChar w:fldCharType="separate"/>
      </w:r>
      <w:r w:rsidR="000B2CE4">
        <w:t>[1]</w:t>
      </w:r>
      <w:r w:rsidRPr="006E062B">
        <w:fldChar w:fldCharType="end"/>
      </w:r>
      <w:r w:rsidR="00BF1E70" w:rsidRPr="006E062B">
        <w:t xml:space="preserve">. </w:t>
      </w:r>
      <w:r w:rsidRPr="006E062B">
        <w:t>The revised</w:t>
      </w:r>
      <w:r w:rsidR="00BF1E70" w:rsidRPr="006E062B">
        <w:t xml:space="preserve"> objective of the work item concern</w:t>
      </w:r>
      <w:r w:rsidRPr="006E062B">
        <w:t>ing</w:t>
      </w:r>
      <w:r w:rsidR="00BF1E70" w:rsidRPr="006E062B">
        <w:t xml:space="preserve"> enhancements to multi-beam operation</w:t>
      </w:r>
      <w:r w:rsidRPr="006E062B">
        <w:t xml:space="preserve"> reads</w:t>
      </w:r>
      <w:r w:rsidR="00BF1E70" w:rsidRPr="006E062B">
        <w:t>:</w:t>
      </w:r>
    </w:p>
    <w:p w14:paraId="33210247" w14:textId="77777777" w:rsidR="00BF1E70" w:rsidRPr="006E062B" w:rsidRDefault="00BF1E70" w:rsidP="000E0F2D">
      <w:pPr>
        <w:pStyle w:val="BodyText"/>
      </w:pPr>
      <w:r w:rsidRPr="006E062B">
        <w:rPr>
          <w:noProof/>
        </w:rPr>
        <mc:AlternateContent>
          <mc:Choice Requires="wps">
            <w:drawing>
              <wp:inline distT="0" distB="0" distL="0" distR="0" wp14:anchorId="1461346A" wp14:editId="70247915">
                <wp:extent cx="6146359" cy="771276"/>
                <wp:effectExtent l="0" t="0" r="26035" b="24765"/>
                <wp:docPr id="30" name="Text Box 30"/>
                <wp:cNvGraphicFramePr/>
                <a:graphic xmlns:a="http://schemas.openxmlformats.org/drawingml/2006/main">
                  <a:graphicData uri="http://schemas.microsoft.com/office/word/2010/wordprocessingShape">
                    <wps:wsp>
                      <wps:cNvSpPr txBox="1"/>
                      <wps:spPr>
                        <a:xfrm>
                          <a:off x="0" y="0"/>
                          <a:ext cx="6146359" cy="771276"/>
                        </a:xfrm>
                        <a:prstGeom prst="rect">
                          <a:avLst/>
                        </a:prstGeom>
                        <a:solidFill>
                          <a:schemeClr val="lt1"/>
                        </a:solidFill>
                        <a:ln w="6350">
                          <a:solidFill>
                            <a:prstClr val="black"/>
                          </a:solidFill>
                        </a:ln>
                      </wps:spPr>
                      <wps:txbx>
                        <w:txbxContent>
                          <w:p w14:paraId="5E01AFA0" w14:textId="77777777" w:rsidR="00A37811" w:rsidRPr="006E062B" w:rsidRDefault="00A37811" w:rsidP="0004052A">
                            <w:pPr>
                              <w:pStyle w:val="ListParagraph"/>
                              <w:numPr>
                                <w:ilvl w:val="0"/>
                                <w:numId w:val="18"/>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A37811" w:rsidRPr="006E062B" w:rsidRDefault="00A37811" w:rsidP="0004052A">
                            <w:pPr>
                              <w:pStyle w:val="ListParagraph"/>
                              <w:numPr>
                                <w:ilvl w:val="1"/>
                                <w:numId w:val="18"/>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Enhancement on </w:t>
                            </w:r>
                            <w:proofErr w:type="spellStart"/>
                            <w:r w:rsidRPr="006E062B">
                              <w:rPr>
                                <w:rFonts w:ascii="Times New Roman" w:hAnsi="Times New Roman" w:cs="Times New Roman"/>
                              </w:rPr>
                              <w:t>signaling</w:t>
                            </w:r>
                            <w:proofErr w:type="spellEnd"/>
                            <w:r w:rsidRPr="006E062B">
                              <w:rPr>
                                <w:rFonts w:ascii="Times New Roman" w:hAnsi="Times New Roman" w:cs="Times New Roman"/>
                              </w:rPr>
                              <w:t xml:space="preserve"> mechanisms for the above features to improve latency and efficiency with more usage of dynamic control </w:t>
                            </w:r>
                            <w:proofErr w:type="spellStart"/>
                            <w:r w:rsidRPr="006E062B">
                              <w:rPr>
                                <w:rFonts w:ascii="Times New Roman" w:hAnsi="Times New Roman" w:cs="Times New Roman"/>
                              </w:rPr>
                              <w:t>signaling</w:t>
                            </w:r>
                            <w:proofErr w:type="spellEnd"/>
                            <w:r w:rsidRPr="006E062B">
                              <w:rPr>
                                <w:rFonts w:ascii="Times New Roman" w:hAnsi="Times New Roman" w:cs="Times New Roman"/>
                              </w:rPr>
                              <w:t xml:space="preserve"> (as opposed to RRC)</w:t>
                            </w:r>
                          </w:p>
                          <w:p w14:paraId="1FAAA612"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 xml:space="preserve">The same beam measurement/reporting mechanism will be reused for inter-cell </w:t>
                            </w:r>
                            <w:proofErr w:type="spellStart"/>
                            <w:r w:rsidRPr="006E062B">
                              <w:rPr>
                                <w:rFonts w:ascii="Times New Roman" w:hAnsi="Times New Roman" w:cs="Times New Roman"/>
                              </w:rPr>
                              <w:t>mTRP</w:t>
                            </w:r>
                            <w:proofErr w:type="spellEnd"/>
                          </w:p>
                          <w:p w14:paraId="177DB51C"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A37811" w:rsidRPr="006E062B" w:rsidRDefault="00A37811" w:rsidP="0004052A">
                            <w:pPr>
                              <w:pStyle w:val="ListParagraph"/>
                              <w:numPr>
                                <w:ilvl w:val="1"/>
                                <w:numId w:val="18"/>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w:t>
                            </w:r>
                            <w:proofErr w:type="spellStart"/>
                            <w:r w:rsidRPr="006E062B">
                              <w:rPr>
                                <w:rFonts w:ascii="Times New Roman" w:hAnsi="Times New Roman" w:cs="Times New Roman"/>
                              </w:rPr>
                              <w:t>UEs</w:t>
                            </w:r>
                            <w:proofErr w:type="spellEnd"/>
                            <w:r w:rsidRPr="006E062B">
                              <w:rPr>
                                <w:rFonts w:ascii="Times New Roman" w:hAnsi="Times New Roman" w:cs="Times New Roman"/>
                              </w:rPr>
                              <w:t xml:space="preserve"> equipped with multiple panels, considering UL coverage loss mitigation due to MPE, based on UL beam indication with the unified TCI framework for UL fast panel selection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1461346A" id="_x0000_t202" coordsize="21600,21600" o:spt="202" path="m,l,21600r21600,l21600,xe">
                <v:stroke joinstyle="miter"/>
                <v:path gradientshapeok="t" o:connecttype="rect"/>
              </v:shapetype>
              <v:shape id="Text Box 30" o:spid="_x0000_s1026" type="#_x0000_t202" style="width:483.95pt;height:60.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" fillcolor="white [3201]" strokeweight=".5pt">
                <v:textbox style="mso-fit-shape-to-text:t">
                  <w:txbxContent>
                    <w:p w14:paraId="5E01AFA0" w14:textId="77777777" w:rsidR="00A37811" w:rsidRPr="006E062B" w:rsidRDefault="00A37811" w:rsidP="0004052A">
                      <w:pPr>
                        <w:pStyle w:val="ListParagraph"/>
                        <w:numPr>
                          <w:ilvl w:val="0"/>
                          <w:numId w:val="18"/>
                        </w:numPr>
                        <w:spacing w:line="240" w:lineRule="auto"/>
                        <w:ind w:left="720"/>
                        <w:jc w:val="both"/>
                        <w:rPr>
                          <w:rFonts w:ascii="Times New Roman" w:hAnsi="Times New Roman" w:cs="Times New Roman"/>
                        </w:rPr>
                      </w:pPr>
                      <w:r w:rsidRPr="006E062B">
                        <w:rPr>
                          <w:rFonts w:ascii="Times New Roman" w:hAnsi="Times New Roman" w:cs="Times New Roman"/>
                        </w:rPr>
                        <w:t xml:space="preserve">Enhancement on multi-beam operation, mainly targeting FR2 while also applicable to FR1: </w:t>
                      </w:r>
                    </w:p>
                    <w:p w14:paraId="01BB7475" w14:textId="201F7E27" w:rsidR="00A37811" w:rsidRPr="006E062B" w:rsidRDefault="00A37811" w:rsidP="0004052A">
                      <w:pPr>
                        <w:pStyle w:val="ListParagraph"/>
                        <w:numPr>
                          <w:ilvl w:val="1"/>
                          <w:numId w:val="18"/>
                        </w:numPr>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more efficient (lower latency and overhead) DL/UL beam management </w:t>
                      </w:r>
                      <w:r w:rsidRPr="006E062B">
                        <w:rPr>
                          <w:rFonts w:ascii="Times New Roman" w:eastAsia="Times New Roman" w:hAnsi="Times New Roman" w:cs="Times New Roman"/>
                        </w:rPr>
                        <w:t xml:space="preserve">for intra-cell and inter-cell scenarios </w:t>
                      </w:r>
                      <w:r w:rsidRPr="006E062B">
                        <w:rPr>
                          <w:rFonts w:ascii="Times New Roman" w:hAnsi="Times New Roman" w:cs="Times New Roman"/>
                        </w:rPr>
                        <w:t>to support higher UE speed and/or a larger number of configured TCI states:</w:t>
                      </w:r>
                    </w:p>
                    <w:p w14:paraId="0F6F4C20"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Common beam for data and control transmission/reception for DL and UL, especially for intra-band CA</w:t>
                      </w:r>
                    </w:p>
                    <w:p w14:paraId="3BC83421" w14:textId="77777777" w:rsidR="00A37811" w:rsidRPr="006E062B" w:rsidRDefault="00A37811" w:rsidP="0004052A">
                      <w:pPr>
                        <w:pStyle w:val="ListParagraph"/>
                        <w:numPr>
                          <w:ilvl w:val="2"/>
                          <w:numId w:val="18"/>
                        </w:numPr>
                        <w:spacing w:line="240" w:lineRule="auto"/>
                        <w:ind w:left="2160"/>
                        <w:jc w:val="both"/>
                        <w:rPr>
                          <w:rFonts w:ascii="Times New Roman" w:hAnsi="Times New Roman" w:cs="Times New Roman"/>
                        </w:rPr>
                      </w:pPr>
                      <w:r w:rsidRPr="006E062B">
                        <w:rPr>
                          <w:rFonts w:ascii="Times New Roman" w:hAnsi="Times New Roman" w:cs="Times New Roman"/>
                        </w:rPr>
                        <w:t>Unified TCI framework for DL and UL beam indication</w:t>
                      </w:r>
                    </w:p>
                    <w:p w14:paraId="0A84B1EE"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Enhancement on </w:t>
                      </w:r>
                      <w:proofErr w:type="spellStart"/>
                      <w:r w:rsidRPr="006E062B">
                        <w:rPr>
                          <w:rFonts w:ascii="Times New Roman" w:hAnsi="Times New Roman" w:cs="Times New Roman"/>
                        </w:rPr>
                        <w:t>signaling</w:t>
                      </w:r>
                      <w:proofErr w:type="spellEnd"/>
                      <w:r w:rsidRPr="006E062B">
                        <w:rPr>
                          <w:rFonts w:ascii="Times New Roman" w:hAnsi="Times New Roman" w:cs="Times New Roman"/>
                        </w:rPr>
                        <w:t xml:space="preserve"> mechanisms for the above features to improve latency and efficiency with more usage of dynamic control </w:t>
                      </w:r>
                      <w:proofErr w:type="spellStart"/>
                      <w:r w:rsidRPr="006E062B">
                        <w:rPr>
                          <w:rFonts w:ascii="Times New Roman" w:hAnsi="Times New Roman" w:cs="Times New Roman"/>
                        </w:rPr>
                        <w:t>signaling</w:t>
                      </w:r>
                      <w:proofErr w:type="spellEnd"/>
                      <w:r w:rsidRPr="006E062B">
                        <w:rPr>
                          <w:rFonts w:ascii="Times New Roman" w:hAnsi="Times New Roman" w:cs="Times New Roman"/>
                        </w:rPr>
                        <w:t xml:space="preserve"> (as opposed to RRC)</w:t>
                      </w:r>
                    </w:p>
                    <w:p w14:paraId="1FAAA612" w14:textId="77777777" w:rsidR="00A37811" w:rsidRPr="006E062B" w:rsidRDefault="00A37811" w:rsidP="0004052A">
                      <w:pPr>
                        <w:pStyle w:val="ListParagraph"/>
                        <w:numPr>
                          <w:ilvl w:val="2"/>
                          <w:numId w:val="18"/>
                        </w:numPr>
                        <w:snapToGrid w:val="0"/>
                        <w:spacing w:line="240" w:lineRule="auto"/>
                        <w:ind w:left="2160"/>
                        <w:jc w:val="both"/>
                        <w:rPr>
                          <w:rFonts w:ascii="Times New Roman" w:hAnsi="Times New Roman" w:cs="Times New Roman"/>
                        </w:rPr>
                      </w:pPr>
                      <w:r w:rsidRPr="006E062B">
                        <w:rPr>
                          <w:rFonts w:ascii="Times New Roman" w:hAnsi="Times New Roman" w:cs="Times New Roman"/>
                        </w:rPr>
                        <w:t xml:space="preserve">For inter-cell beam management, a UE can transmit to or receive from only a single cell (i.e. serving cell does not change when beam selection is done). This includes L1-only measurement/reporting (i.e. no L3 impact) and beam indication associated with cell(s) with any Physical Cell ID(s) </w:t>
                      </w:r>
                    </w:p>
                    <w:p w14:paraId="70B1B343"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The beam indication is based on Rel-17 unified TCI framework</w:t>
                      </w:r>
                    </w:p>
                    <w:p w14:paraId="6C37106A"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 xml:space="preserve">The same beam measurement/reporting mechanism will be reused for inter-cell </w:t>
                      </w:r>
                      <w:proofErr w:type="spellStart"/>
                      <w:r w:rsidRPr="006E062B">
                        <w:rPr>
                          <w:rFonts w:ascii="Times New Roman" w:hAnsi="Times New Roman" w:cs="Times New Roman"/>
                        </w:rPr>
                        <w:t>mTRP</w:t>
                      </w:r>
                      <w:proofErr w:type="spellEnd"/>
                    </w:p>
                    <w:p w14:paraId="177DB51C" w14:textId="77777777" w:rsidR="00A37811" w:rsidRPr="006E062B" w:rsidRDefault="00A37811" w:rsidP="0004052A">
                      <w:pPr>
                        <w:numPr>
                          <w:ilvl w:val="3"/>
                          <w:numId w:val="19"/>
                        </w:numPr>
                        <w:overflowPunct w:val="0"/>
                        <w:autoSpaceDE w:val="0"/>
                        <w:autoSpaceDN w:val="0"/>
                        <w:snapToGrid w:val="0"/>
                        <w:spacing w:after="0" w:line="240" w:lineRule="auto"/>
                        <w:textAlignment w:val="baseline"/>
                        <w:rPr>
                          <w:rFonts w:ascii="Times New Roman" w:hAnsi="Times New Roman" w:cs="Times New Roman"/>
                        </w:rPr>
                      </w:pPr>
                      <w:r w:rsidRPr="006E062B">
                        <w:rPr>
                          <w:rFonts w:ascii="Times New Roman" w:hAnsi="Times New Roman" w:cs="Times New Roman"/>
                        </w:rPr>
                        <w:t>This work shall only consider intra-DU and intra-frequency cases</w:t>
                      </w:r>
                    </w:p>
                    <w:p w14:paraId="3E625569" w14:textId="077C07A7" w:rsidR="00A37811" w:rsidRPr="006E062B" w:rsidRDefault="00A37811" w:rsidP="0004052A">
                      <w:pPr>
                        <w:pStyle w:val="ListParagraph"/>
                        <w:numPr>
                          <w:ilvl w:val="1"/>
                          <w:numId w:val="18"/>
                        </w:numPr>
                        <w:snapToGrid w:val="0"/>
                        <w:spacing w:line="240" w:lineRule="auto"/>
                        <w:ind w:left="1440"/>
                        <w:jc w:val="both"/>
                        <w:rPr>
                          <w:rFonts w:ascii="Times New Roman" w:hAnsi="Times New Roman" w:cs="Times New Roman"/>
                        </w:rPr>
                      </w:pPr>
                      <w:r w:rsidRPr="006E062B">
                        <w:rPr>
                          <w:rFonts w:ascii="Times New Roman" w:hAnsi="Times New Roman" w:cs="Times New Roman"/>
                        </w:rPr>
                        <w:t xml:space="preserve">Identify and specify features to facilitate UL beam selection for </w:t>
                      </w:r>
                      <w:proofErr w:type="spellStart"/>
                      <w:r w:rsidRPr="006E062B">
                        <w:rPr>
                          <w:rFonts w:ascii="Times New Roman" w:hAnsi="Times New Roman" w:cs="Times New Roman"/>
                        </w:rPr>
                        <w:t>UEs</w:t>
                      </w:r>
                      <w:proofErr w:type="spellEnd"/>
                      <w:r w:rsidRPr="006E062B">
                        <w:rPr>
                          <w:rFonts w:ascii="Times New Roman" w:hAnsi="Times New Roman" w:cs="Times New Roman"/>
                        </w:rPr>
                        <w:t xml:space="preserve"> equipped with multiple panels, considering UL coverage loss mitigation due to MPE, based on UL beam indication with the unified TCI framework for UL fast panel selection </w:t>
                      </w:r>
                    </w:p>
                  </w:txbxContent>
                </v:textbox>
                <w10:anchorlock/>
              </v:shape>
            </w:pict>
          </mc:Fallback>
        </mc:AlternateContent>
      </w:r>
    </w:p>
    <w:p w14:paraId="275E20CD" w14:textId="508CE795" w:rsidR="009E7184" w:rsidRDefault="009E7184" w:rsidP="000E0F2D">
      <w:pPr>
        <w:pStyle w:val="BodyText"/>
      </w:pPr>
      <w:r w:rsidRPr="006E062B">
        <w:t>During RAN1#10</w:t>
      </w:r>
      <w:r w:rsidR="00513DBE">
        <w:t>8</w:t>
      </w:r>
      <w:r w:rsidR="00345B9D" w:rsidRPr="006E062B">
        <w:t>-</w:t>
      </w:r>
      <w:r w:rsidR="002607D0" w:rsidRPr="006E062B">
        <w:t>e</w:t>
      </w:r>
      <w:r w:rsidRPr="006E062B">
        <w:t xml:space="preserve">, </w:t>
      </w:r>
      <w:r w:rsidR="00507940" w:rsidRPr="006E062B">
        <w:t>multiple</w:t>
      </w:r>
      <w:r w:rsidRPr="006E062B">
        <w:t xml:space="preserve"> multi-beam agreement</w:t>
      </w:r>
      <w:r w:rsidR="00795909" w:rsidRPr="006E062B">
        <w:t>s</w:t>
      </w:r>
      <w:r w:rsidRPr="006E062B">
        <w:t xml:space="preserve"> </w:t>
      </w:r>
      <w:r w:rsidR="00507940" w:rsidRPr="006E062B">
        <w:t>w</w:t>
      </w:r>
      <w:r w:rsidR="00795909" w:rsidRPr="006E062B">
        <w:t>ere</w:t>
      </w:r>
      <w:r w:rsidRPr="006E062B">
        <w:t xml:space="preserve"> made</w:t>
      </w:r>
      <w:r w:rsidR="00507940" w:rsidRPr="006E062B">
        <w:t xml:space="preserve">. </w:t>
      </w:r>
      <w:r w:rsidRPr="006E062B">
        <w:t>This contribution will provide</w:t>
      </w:r>
      <w:r w:rsidR="00507940" w:rsidRPr="006E062B">
        <w:t xml:space="preserve"> </w:t>
      </w:r>
      <w:r w:rsidR="00513DBE">
        <w:t xml:space="preserve">corrections to </w:t>
      </w:r>
      <w:r w:rsidR="00507940" w:rsidRPr="006E062B">
        <w:t>further</w:t>
      </w:r>
      <w:r w:rsidRPr="006E062B">
        <w:t xml:space="preserve"> input to </w:t>
      </w:r>
      <w:r w:rsidR="00507940" w:rsidRPr="006E062B">
        <w:t>the agreements and related topics</w:t>
      </w:r>
      <w:r w:rsidRPr="006E062B">
        <w:t>.</w:t>
      </w:r>
    </w:p>
    <w:p w14:paraId="7712D04D" w14:textId="05A20480" w:rsidR="005E5D3C" w:rsidRDefault="00230D18" w:rsidP="00E62E8D">
      <w:pPr>
        <w:pStyle w:val="Heading1"/>
      </w:pPr>
      <w:bookmarkStart w:id="1" w:name="_Ref178064866"/>
      <w:r>
        <w:t>2</w:t>
      </w:r>
      <w:r>
        <w:tab/>
      </w:r>
      <w:r w:rsidR="004000E8" w:rsidRPr="00CE0424">
        <w:t>Discussion</w:t>
      </w:r>
      <w:bookmarkEnd w:id="1"/>
    </w:p>
    <w:p w14:paraId="66ABB04C" w14:textId="3AF71C87" w:rsidR="00BE3764" w:rsidRDefault="00BE3764" w:rsidP="00BE3764">
      <w:pPr>
        <w:pStyle w:val="Heading2"/>
      </w:pPr>
      <w:r>
        <w:t>2.1</w:t>
      </w:r>
      <w:r>
        <w:tab/>
        <w:t>Issues with ASN.1 impact</w:t>
      </w:r>
    </w:p>
    <w:p w14:paraId="63973145" w14:textId="5E2CFA06" w:rsidR="00BE3764" w:rsidRDefault="00BE3764" w:rsidP="00BE3764">
      <w:pPr>
        <w:rPr>
          <w:lang w:val="en-GB" w:eastAsia="ja-JP"/>
        </w:rPr>
      </w:pPr>
      <w:r>
        <w:rPr>
          <w:lang w:val="en-GB" w:eastAsia="ja-JP"/>
        </w:rPr>
        <w:t>There are still a few issues on multi-beam enhancements, which have ASN.1 impact. These should be settled as soon as possible.</w:t>
      </w:r>
    </w:p>
    <w:p w14:paraId="7E8097EF" w14:textId="66FDCA38" w:rsidR="00BE3764" w:rsidRDefault="00BE3764" w:rsidP="00BE3764">
      <w:pPr>
        <w:pStyle w:val="Heading3"/>
      </w:pPr>
      <w:r>
        <w:t>2.1.1</w:t>
      </w:r>
      <w:r>
        <w:tab/>
        <w:t>The number of pathloss RS</w:t>
      </w:r>
    </w:p>
    <w:p w14:paraId="6431D455" w14:textId="6233C71D" w:rsidR="00BE3764" w:rsidRDefault="00CE565C" w:rsidP="00CE565C">
      <w:pPr>
        <w:pStyle w:val="BodyText"/>
      </w:pPr>
      <w:r>
        <w:t xml:space="preserve">RAN2 has implemented </w:t>
      </w:r>
      <w:r w:rsidR="00BA1823">
        <w:t>the pathloss RS per UL TCI</w:t>
      </w:r>
      <w:r w:rsidR="005C293C">
        <w:t>:</w:t>
      </w:r>
    </w:p>
    <w:p w14:paraId="4EDF34F0" w14:textId="77777777" w:rsidR="005C293C" w:rsidRPr="00740BCD" w:rsidRDefault="005C293C" w:rsidP="005C293C">
      <w:pPr>
        <w:pStyle w:val="PL"/>
      </w:pPr>
      <w:r w:rsidRPr="00740BCD">
        <w:t xml:space="preserve">UL-TCIState-r17 ::=                   </w:t>
      </w:r>
      <w:r w:rsidRPr="00740BCD">
        <w:rPr>
          <w:color w:val="993366"/>
        </w:rPr>
        <w:t>SEQUENCE</w:t>
      </w:r>
      <w:r w:rsidRPr="00740BCD">
        <w:t xml:space="preserve"> {</w:t>
      </w:r>
    </w:p>
    <w:p w14:paraId="63FEBEEA" w14:textId="77777777" w:rsidR="005C293C" w:rsidRPr="00740BCD" w:rsidRDefault="005C293C" w:rsidP="005C293C">
      <w:pPr>
        <w:pStyle w:val="PL"/>
      </w:pPr>
      <w:r w:rsidRPr="00740BCD">
        <w:lastRenderedPageBreak/>
        <w:t xml:space="preserve">    ul-TCIState-Id-r17                    </w:t>
      </w:r>
      <w:r>
        <w:t xml:space="preserve">    </w:t>
      </w:r>
      <w:r w:rsidRPr="00740BCD">
        <w:t>UL-TCIState-Id-r17,</w:t>
      </w:r>
    </w:p>
    <w:p w14:paraId="3EEF0E25" w14:textId="123DF358" w:rsidR="005C293C" w:rsidRPr="00740BCD" w:rsidRDefault="005C293C" w:rsidP="005C293C">
      <w:pPr>
        <w:pStyle w:val="PL"/>
        <w:rPr>
          <w:color w:val="808080"/>
        </w:rPr>
      </w:pPr>
      <w:r w:rsidRPr="00740BCD">
        <w:t xml:space="preserve">    servingCellId-r17                         ServCellIndex                                         </w:t>
      </w:r>
    </w:p>
    <w:p w14:paraId="73FE73EF" w14:textId="77777777" w:rsidR="005C293C" w:rsidRDefault="005C293C" w:rsidP="005C293C">
      <w:pPr>
        <w:pStyle w:val="PL"/>
      </w:pPr>
      <w:r w:rsidRPr="00740BCD">
        <w:t xml:space="preserve">    qcl-Type1-r17                       </w:t>
      </w:r>
      <w:r>
        <w:t xml:space="preserve">      </w:t>
      </w:r>
      <w:r w:rsidRPr="00740BCD">
        <w:t>QCL</w:t>
      </w:r>
      <w:r>
        <w:t>Unified</w:t>
      </w:r>
      <w:r w:rsidRPr="00740BCD">
        <w:t>-Info</w:t>
      </w:r>
      <w:r>
        <w:t>-r17,</w:t>
      </w:r>
    </w:p>
    <w:p w14:paraId="03B29782" w14:textId="428DAB71" w:rsidR="005C293C" w:rsidRPr="00740BCD" w:rsidRDefault="005C293C" w:rsidP="005C293C">
      <w:pPr>
        <w:pStyle w:val="PL"/>
        <w:rPr>
          <w:color w:val="808080"/>
        </w:rPr>
      </w:pPr>
      <w:r>
        <w:t xml:space="preserve">    </w:t>
      </w:r>
      <w:r w:rsidRPr="00740BCD">
        <w:t xml:space="preserve">ul-powerControl-r17                   Uplink-powerControlId-r17                                 </w:t>
      </w:r>
    </w:p>
    <w:p w14:paraId="23973023" w14:textId="47EDF2B9" w:rsidR="005C293C" w:rsidRPr="00740BCD" w:rsidRDefault="005C293C" w:rsidP="005C293C">
      <w:pPr>
        <w:pStyle w:val="PL"/>
        <w:rPr>
          <w:color w:val="808080"/>
        </w:rPr>
      </w:pPr>
      <w:r w:rsidRPr="00740BCD">
        <w:t xml:space="preserve">    pathlossReferenceRS-Id-r17            PUSCH-PathlossReferenceRS-Id                              </w:t>
      </w:r>
    </w:p>
    <w:p w14:paraId="7A1E7A77" w14:textId="77777777" w:rsidR="005C293C" w:rsidRPr="00740BCD" w:rsidRDefault="005C293C" w:rsidP="005C293C">
      <w:pPr>
        <w:pStyle w:val="PL"/>
      </w:pPr>
      <w:r w:rsidRPr="00740BCD">
        <w:t>}</w:t>
      </w:r>
    </w:p>
    <w:p w14:paraId="776A94E6" w14:textId="0C4556A5" w:rsidR="005C293C" w:rsidRDefault="005C293C" w:rsidP="00CE565C">
      <w:pPr>
        <w:pStyle w:val="BodyText"/>
      </w:pPr>
      <w:r>
        <w:t>Note that RAN2 reuses the PUSCH-</w:t>
      </w:r>
      <w:proofErr w:type="spellStart"/>
      <w:r>
        <w:t>PathlossReferenceRS</w:t>
      </w:r>
      <w:proofErr w:type="spellEnd"/>
      <w:r>
        <w:t>-Id from Rel-15:</w:t>
      </w:r>
    </w:p>
    <w:p w14:paraId="5E8F6196" w14:textId="77777777" w:rsidR="00D608C8" w:rsidRPr="00740BCD" w:rsidRDefault="00D608C8" w:rsidP="00421574">
      <w:pPr>
        <w:pStyle w:val="PL"/>
        <w:spacing w:before="120" w:after="120"/>
      </w:pPr>
      <w:r w:rsidRPr="00740BCD">
        <w:t xml:space="preserve">PUSCH-PathlossReferenceRS-Id ::=    </w:t>
      </w:r>
      <w:r w:rsidRPr="00740BCD">
        <w:rPr>
          <w:color w:val="993366"/>
        </w:rPr>
        <w:t>INTEGER</w:t>
      </w:r>
      <w:r w:rsidRPr="00740BCD">
        <w:t xml:space="preserve"> (0..maxNrofPUSCH-PathlossReferenceRSs-1)</w:t>
      </w:r>
    </w:p>
    <w:p w14:paraId="5B19AF50" w14:textId="1F5D9D9F" w:rsidR="005C293C" w:rsidRDefault="00421574" w:rsidP="00CE565C">
      <w:pPr>
        <w:pStyle w:val="BodyText"/>
      </w:pPr>
      <w:proofErr w:type="gramStart"/>
      <w:r>
        <w:t>w</w:t>
      </w:r>
      <w:r w:rsidR="00D608C8">
        <w:t>here</w:t>
      </w:r>
      <w:proofErr w:type="gramEnd"/>
    </w:p>
    <w:p w14:paraId="1182C1CE" w14:textId="6FEE0B0F" w:rsidR="00421574" w:rsidRPr="00421574" w:rsidRDefault="00421574" w:rsidP="00421574">
      <w:pPr>
        <w:pStyle w:val="PL"/>
        <w:spacing w:before="120" w:after="120"/>
      </w:pPr>
      <w:r w:rsidRPr="00740BCD">
        <w:t xml:space="preserve">maxNrofPUSCH-PathlossReferenceRSs       </w:t>
      </w:r>
      <w:r w:rsidRPr="00740BCD">
        <w:rPr>
          <w:color w:val="993366"/>
        </w:rPr>
        <w:t>INTEGER</w:t>
      </w:r>
      <w:r w:rsidRPr="00740BCD">
        <w:t xml:space="preserve"> ::= 4       </w:t>
      </w:r>
    </w:p>
    <w:p w14:paraId="4789AA7B" w14:textId="77777777" w:rsidR="00266C8B" w:rsidRDefault="00421574" w:rsidP="00421574">
      <w:pPr>
        <w:pStyle w:val="BodyText"/>
      </w:pPr>
      <w:r>
        <w:t>This is too small: to obtain the desired functionality, it should be possible to configure different pathloss RS for every UL TCI state.</w:t>
      </w:r>
      <w:r w:rsidR="004C1B76">
        <w:t xml:space="preserve"> This means that the maximum number of pathloss RSs is the same as the number of UL TCI states, i.e., 64</w:t>
      </w:r>
      <w:r w:rsidR="00266C8B">
        <w:t>:</w:t>
      </w:r>
    </w:p>
    <w:p w14:paraId="7597C8B7" w14:textId="77777777" w:rsidR="00266C8B" w:rsidRDefault="00266C8B" w:rsidP="00266C8B">
      <w:pPr>
        <w:pStyle w:val="Proposal"/>
      </w:pPr>
      <w:bookmarkStart w:id="2" w:name="_Toc101783064"/>
      <w:r>
        <w:t>The maximum number of pathloss RSs for unified TCI is 64.</w:t>
      </w:r>
      <w:bookmarkEnd w:id="2"/>
    </w:p>
    <w:p w14:paraId="631324A9" w14:textId="1947EABC" w:rsidR="00D65C4F" w:rsidRPr="00D65C4F" w:rsidRDefault="00266C8B" w:rsidP="00D65C4F">
      <w:pPr>
        <w:rPr>
          <w:lang w:val="en-GB" w:eastAsia="ja-JP"/>
        </w:rPr>
      </w:pPr>
      <w:r>
        <w:t>Note that the UE</w:t>
      </w:r>
      <w:r w:rsidR="00B93300">
        <w:t xml:space="preserve"> is only required to maintain (track) the pathloss RSs in the activated TCI states, acc</w:t>
      </w:r>
      <w:r w:rsidR="00D65C4F">
        <w:t>ording to the following agreement from</w:t>
      </w:r>
      <w:r w:rsidR="00D65C4F">
        <w:rPr>
          <w:lang w:val="en-GB" w:eastAsia="ja-JP"/>
        </w:rPr>
        <w:t xml:space="preserve"> RAN1#105-e:</w:t>
      </w:r>
    </w:p>
    <w:p w14:paraId="69C00B41" w14:textId="5079235C" w:rsidR="00421574" w:rsidRPr="00D65C4F" w:rsidRDefault="00D65C4F" w:rsidP="00D65C4F">
      <w:pPr>
        <w:rPr>
          <w:lang w:val="en-GB" w:eastAsia="ja-JP"/>
        </w:rPr>
      </w:pPr>
      <w:r>
        <w:rPr>
          <w:noProof/>
          <w:lang w:val="en-GB" w:eastAsia="ja-JP"/>
        </w:rPr>
        <mc:AlternateContent>
          <mc:Choice Requires="wps">
            <w:drawing>
              <wp:inline distT="0" distB="0" distL="0" distR="0" wp14:anchorId="3E03B03B" wp14:editId="2E8C8C85">
                <wp:extent cx="6191250" cy="615950"/>
                <wp:effectExtent l="0" t="0" r="19050" b="15875"/>
                <wp:docPr id="1" name="Text Box 1"/>
                <wp:cNvGraphicFramePr/>
                <a:graphic xmlns:a="http://schemas.openxmlformats.org/drawingml/2006/main">
                  <a:graphicData uri="http://schemas.microsoft.com/office/word/2010/wordprocessingShape">
                    <wps:wsp>
                      <wps:cNvSpPr txBox="1"/>
                      <wps:spPr>
                        <a:xfrm>
                          <a:off x="0" y="0"/>
                          <a:ext cx="6191250" cy="615950"/>
                        </a:xfrm>
                        <a:prstGeom prst="rect">
                          <a:avLst/>
                        </a:prstGeom>
                        <a:solidFill>
                          <a:schemeClr val="lt1"/>
                        </a:solidFill>
                        <a:ln w="6350">
                          <a:solidFill>
                            <a:prstClr val="black"/>
                          </a:solidFill>
                        </a:ln>
                      </wps:spPr>
                      <wps:txbx>
                        <w:txbxContent>
                          <w:p w14:paraId="5AC2C3BA" w14:textId="77777777" w:rsidR="00D65C4F" w:rsidRPr="007A4B66" w:rsidRDefault="00D65C4F" w:rsidP="00D65C4F">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7CDB8D1C" w14:textId="77777777" w:rsidR="00D65C4F" w:rsidRPr="007A4B66" w:rsidRDefault="00D65C4F" w:rsidP="00D65C4F">
                            <w:pPr>
                              <w:snapToGrid w:val="0"/>
                              <w:jc w:val="both"/>
                              <w:rPr>
                                <w:rFonts w:ascii="Times New Roman" w:hAnsi="Times New Roman" w:cs="Times New Roman"/>
                                <w:szCs w:val="20"/>
                              </w:rPr>
                            </w:pPr>
                            <w:r w:rsidRPr="007A4B66">
                              <w:rPr>
                                <w:rFonts w:ascii="Times New Roman" w:hAnsi="Times New Roman" w:cs="Times New Roman"/>
                                <w:szCs w:val="20"/>
                              </w:rPr>
                              <w:t>On path-loss measurement for Rel.17 unified TCI framework</w:t>
                            </w:r>
                            <w:r w:rsidRPr="007A4B66">
                              <w:rPr>
                                <w:rFonts w:ascii="Times New Roman" w:hAnsi="Times New Roman" w:cs="Times New Roman"/>
                                <w:szCs w:val="20"/>
                                <w:lang w:eastAsia="ja-JP"/>
                              </w:rPr>
                              <w:t>, a PL-RS (configured for path-loss calculation) is either included in</w:t>
                            </w:r>
                            <w:r w:rsidRPr="007A4B66">
                              <w:rPr>
                                <w:rStyle w:val="apple-converted-space"/>
                                <w:rFonts w:ascii="Times New Roman" w:hAnsi="Times New Roman" w:cs="Times New Roman"/>
                                <w:szCs w:val="20"/>
                                <w:lang w:eastAsia="ja-JP"/>
                              </w:rPr>
                              <w:t> </w:t>
                            </w:r>
                            <w:r w:rsidRPr="007A4B66">
                              <w:rPr>
                                <w:rStyle w:val="apple-converted-space"/>
                                <w:rFonts w:ascii="Times New Roman" w:hAnsi="Times New Roman" w:cs="Times New Roman"/>
                                <w:szCs w:val="20"/>
                                <w:lang w:eastAsia="zh-CN"/>
                              </w:rPr>
                              <w:t xml:space="preserve">UL </w:t>
                            </w:r>
                            <w:r w:rsidRPr="007A4B66">
                              <w:rPr>
                                <w:rStyle w:val="apple-converted-space"/>
                                <w:rFonts w:ascii="Times New Roman" w:hAnsi="Times New Roman" w:cs="Times New Roman"/>
                                <w:szCs w:val="20"/>
                                <w:lang w:eastAsia="ja-JP"/>
                              </w:rPr>
                              <w:t>TCI state</w:t>
                            </w:r>
                            <w:r w:rsidRPr="007A4B66">
                              <w:rPr>
                                <w:rStyle w:val="apple-converted-space"/>
                                <w:rFonts w:ascii="Times New Roman" w:hAnsi="Times New Roman" w:cs="Times New Roman"/>
                                <w:szCs w:val="20"/>
                                <w:lang w:eastAsia="zh-CN"/>
                              </w:rPr>
                              <w:t xml:space="preserve"> or (if applicable) joint TCI state</w:t>
                            </w:r>
                            <w:r w:rsidRPr="007A4B66">
                              <w:rPr>
                                <w:rStyle w:val="apple-converted-space"/>
                                <w:rFonts w:ascii="Times New Roman" w:hAnsi="Times New Roman" w:cs="Times New Roman"/>
                                <w:szCs w:val="20"/>
                                <w:lang w:eastAsia="ja-JP"/>
                              </w:rPr>
                              <w:t xml:space="preserve"> or associated with </w:t>
                            </w:r>
                            <w:r w:rsidRPr="007A4B66">
                              <w:rPr>
                                <w:rFonts w:ascii="Times New Roman" w:hAnsi="Times New Roman" w:cs="Times New Roman"/>
                                <w:szCs w:val="20"/>
                                <w:lang w:eastAsia="ja-JP"/>
                              </w:rPr>
                              <w:t>UL TCI state or (if applicable) joint TCI state.</w:t>
                            </w:r>
                          </w:p>
                          <w:p w14:paraId="0DC16383" w14:textId="77777777" w:rsidR="00D65C4F" w:rsidRPr="007A4B66" w:rsidRDefault="00D65C4F" w:rsidP="00D65C4F">
                            <w:pPr>
                              <w:pStyle w:val="ListParagraph"/>
                              <w:numPr>
                                <w:ilvl w:val="0"/>
                                <w:numId w:val="47"/>
                              </w:numPr>
                              <w:snapToGrid w:val="0"/>
                              <w:spacing w:line="240" w:lineRule="auto"/>
                              <w:jc w:val="both"/>
                              <w:rPr>
                                <w:rFonts w:ascii="Times New Roman" w:hAnsi="Times New Roman" w:cs="Times New Roman"/>
                                <w:sz w:val="20"/>
                                <w:szCs w:val="20"/>
                                <w:lang w:eastAsia="ko-KR"/>
                              </w:rPr>
                            </w:pPr>
                            <w:r w:rsidRPr="007A4B66">
                              <w:rPr>
                                <w:rStyle w:val="msoins0"/>
                                <w:rFonts w:ascii="Times New Roman" w:eastAsia="Times New Roman" w:hAnsi="Times New Roman" w:cs="Times New Roman"/>
                                <w:sz w:val="20"/>
                                <w:szCs w:val="20"/>
                              </w:rPr>
                              <w:t>Whether a UE supports “beam misalignment or not” (detailed definition FFS)</w:t>
                            </w:r>
                            <w:r w:rsidRPr="007A4B66">
                              <w:rPr>
                                <w:rStyle w:val="apple-converted-space"/>
                                <w:rFonts w:ascii="Times New Roman" w:eastAsia="Times New Roman" w:hAnsi="Times New Roman" w:cs="Times New Roman"/>
                                <w:sz w:val="20"/>
                                <w:szCs w:val="20"/>
                              </w:rPr>
                              <w:t> </w:t>
                            </w:r>
                            <w:r w:rsidRPr="007A4B66">
                              <w:rPr>
                                <w:rStyle w:val="msoins0"/>
                                <w:rFonts w:ascii="Times New Roman" w:eastAsia="Times New Roman" w:hAnsi="Times New Roman" w:cs="Times New Roman"/>
                                <w:sz w:val="20"/>
                                <w:szCs w:val="20"/>
                              </w:rPr>
                              <w:t>between</w:t>
                            </w:r>
                            <w:r w:rsidRPr="007A4B66">
                              <w:rPr>
                                <w:rStyle w:val="apple-converted-space"/>
                                <w:rFonts w:ascii="Times New Roman" w:eastAsia="Times New Roman" w:hAnsi="Times New Roman" w:cs="Times New Roman"/>
                                <w:sz w:val="20"/>
                                <w:szCs w:val="20"/>
                              </w:rPr>
                              <w:t> </w:t>
                            </w:r>
                            <w:r w:rsidRPr="007A4B66">
                              <w:rPr>
                                <w:rStyle w:val="apple-converted-space"/>
                                <w:rFonts w:ascii="Times New Roman" w:hAnsi="Times New Roman" w:cs="Times New Roman"/>
                                <w:sz w:val="20"/>
                                <w:szCs w:val="20"/>
                                <w:lang w:eastAsia="ja-JP"/>
                              </w:rPr>
                              <w:t>the</w:t>
                            </w:r>
                            <w:r w:rsidRPr="007A4B66">
                              <w:rPr>
                                <w:rFonts w:ascii="Times New Roman" w:hAnsi="Times New Roman" w:cs="Times New Roman"/>
                                <w:sz w:val="20"/>
                                <w:szCs w:val="20"/>
                                <w:lang w:eastAsia="ja-JP"/>
                              </w:rPr>
                              <w:t xml:space="preserve"> DL </w:t>
                            </w:r>
                            <w:r w:rsidRPr="007A4B66">
                              <w:rPr>
                                <w:rFonts w:ascii="Times New Roman" w:eastAsia="Times New Roman" w:hAnsi="Times New Roman" w:cs="Times New Roman"/>
                                <w:sz w:val="20"/>
                                <w:szCs w:val="20"/>
                              </w:rPr>
                              <w:t xml:space="preserve">source </w:t>
                            </w:r>
                            <w:r w:rsidRPr="007A4B66">
                              <w:rPr>
                                <w:rFonts w:ascii="Times New Roman" w:hAnsi="Times New Roman" w:cs="Times New Roman"/>
                                <w:sz w:val="20"/>
                                <w:szCs w:val="20"/>
                                <w:lang w:eastAsia="ja-JP"/>
                              </w:rPr>
                              <w:t>RS in</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the UL or (if applicable) joint TCI state</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to provide spatial relation indication and the PL-RS is a UE capability</w:t>
                            </w:r>
                          </w:p>
                          <w:p w14:paraId="4F134146" w14:textId="77777777" w:rsidR="00D65C4F" w:rsidRPr="007A4B66" w:rsidRDefault="00D65C4F" w:rsidP="00D65C4F">
                            <w:pPr>
                              <w:pStyle w:val="ListParagraph"/>
                              <w:numPr>
                                <w:ilvl w:val="1"/>
                                <w:numId w:val="47"/>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Note: The term “</w:t>
                            </w:r>
                            <w:r w:rsidRPr="007A4B66">
                              <w:rPr>
                                <w:rStyle w:val="msoins0"/>
                                <w:rFonts w:ascii="Times New Roman" w:eastAsia="Times New Roman" w:hAnsi="Times New Roman" w:cs="Times New Roman"/>
                                <w:sz w:val="20"/>
                                <w:szCs w:val="20"/>
                              </w:rPr>
                              <w:t>beam misalignment</w:t>
                            </w:r>
                            <w:r w:rsidRPr="007A4B66">
                              <w:rPr>
                                <w:rFonts w:ascii="Times New Roman" w:hAnsi="Times New Roman" w:cs="Times New Roman"/>
                                <w:sz w:val="20"/>
                                <w:szCs w:val="20"/>
                                <w:lang w:eastAsia="ja-JP"/>
                              </w:rPr>
                              <w:t>” is for discussion purpose only</w:t>
                            </w:r>
                          </w:p>
                          <w:p w14:paraId="30BC0C79" w14:textId="77777777" w:rsidR="00D65C4F" w:rsidRPr="007A4B66" w:rsidRDefault="00D65C4F" w:rsidP="00D65C4F">
                            <w:pPr>
                              <w:pStyle w:val="ListParagraph"/>
                              <w:numPr>
                                <w:ilvl w:val="0"/>
                                <w:numId w:val="47"/>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 xml:space="preserve">Whether it is ‘included in’ or ‘associated with’ (including the manner it is performed and the </w:t>
                            </w:r>
                            <w:proofErr w:type="spellStart"/>
                            <w:r w:rsidRPr="007A4B66">
                              <w:rPr>
                                <w:rFonts w:ascii="Times New Roman" w:hAnsi="Times New Roman" w:cs="Times New Roman"/>
                                <w:sz w:val="20"/>
                                <w:szCs w:val="20"/>
                                <w:lang w:eastAsia="ja-JP"/>
                              </w:rPr>
                              <w:t>signaling</w:t>
                            </w:r>
                            <w:proofErr w:type="spellEnd"/>
                            <w:r w:rsidRPr="007A4B66">
                              <w:rPr>
                                <w:rFonts w:ascii="Times New Roman" w:hAnsi="Times New Roman" w:cs="Times New Roman"/>
                                <w:sz w:val="20"/>
                                <w:szCs w:val="20"/>
                                <w:lang w:eastAsia="ja-JP"/>
                              </w:rPr>
                              <w:t>) is up to RAN2</w:t>
                            </w:r>
                          </w:p>
                          <w:p w14:paraId="393742F7" w14:textId="77777777" w:rsidR="00D65C4F" w:rsidRPr="007A4B66" w:rsidRDefault="00D65C4F" w:rsidP="00D65C4F">
                            <w:pPr>
                              <w:numPr>
                                <w:ilvl w:val="0"/>
                                <w:numId w:val="46"/>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UE maintains the PL-RS of the activated UL TCI state or (if applicable) joint TCI state</w:t>
                            </w:r>
                          </w:p>
                          <w:p w14:paraId="1810E2BD" w14:textId="77777777" w:rsidR="00D65C4F" w:rsidRPr="007A4B66" w:rsidRDefault="00D65C4F" w:rsidP="00D65C4F">
                            <w:pPr>
                              <w:numPr>
                                <w:ilvl w:val="0"/>
                                <w:numId w:val="46"/>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maximum number of activated UL TCI states or (if applicable) joint TCI states per band per cell is a UE capability</w:t>
                            </w:r>
                          </w:p>
                          <w:p w14:paraId="5AD71A71" w14:textId="77777777" w:rsidR="00D65C4F" w:rsidRPr="007A4B66" w:rsidRDefault="00D65C4F" w:rsidP="00D65C4F">
                            <w:pPr>
                              <w:numPr>
                                <w:ilvl w:val="0"/>
                                <w:numId w:val="46"/>
                              </w:numPr>
                              <w:snapToGrid w:val="0"/>
                              <w:spacing w:after="0" w:line="240" w:lineRule="auto"/>
                              <w:jc w:val="both"/>
                              <w:rPr>
                                <w:rFonts w:ascii="Times New Roman" w:eastAsia="Times New Roman" w:hAnsi="Times New Roman" w:cs="Times New Roman"/>
                                <w:szCs w:val="20"/>
                                <w:lang w:eastAsia="ko-KR"/>
                              </w:rPr>
                            </w:pPr>
                            <w:r w:rsidRPr="007A4B66">
                              <w:rPr>
                                <w:rFonts w:ascii="Times New Roman" w:hAnsi="Times New Roman" w:cs="Times New Roman"/>
                                <w:szCs w:val="20"/>
                                <w:lang w:eastAsia="ja-JP"/>
                              </w:rPr>
                              <w:t xml:space="preserve">FFS: detailed aspects of PL-RS, </w:t>
                            </w:r>
                            <w:proofErr w:type="gramStart"/>
                            <w:r w:rsidRPr="007A4B66">
                              <w:rPr>
                                <w:rFonts w:ascii="Times New Roman" w:hAnsi="Times New Roman" w:cs="Times New Roman"/>
                                <w:szCs w:val="20"/>
                                <w:lang w:eastAsia="ja-JP"/>
                              </w:rPr>
                              <w:t>e.g.</w:t>
                            </w:r>
                            <w:proofErr w:type="gramEnd"/>
                            <w:r w:rsidRPr="007A4B66">
                              <w:rPr>
                                <w:rFonts w:ascii="Times New Roman" w:hAnsi="Times New Roman" w:cs="Times New Roman"/>
                                <w:szCs w:val="20"/>
                                <w:lang w:eastAsia="ja-JP"/>
                              </w:rPr>
                              <w:t xml:space="preserve"> CSI-RS type(s), restriction on configuration</w:t>
                            </w:r>
                          </w:p>
                          <w:p w14:paraId="091E3A38" w14:textId="77777777" w:rsidR="00D65C4F" w:rsidRPr="007A4B66" w:rsidRDefault="00D65C4F" w:rsidP="00D65C4F">
                            <w:pPr>
                              <w:numPr>
                                <w:ilvl w:val="0"/>
                                <w:numId w:val="46"/>
                              </w:numPr>
                              <w:snapToGrid w:val="0"/>
                              <w:spacing w:after="0" w:line="240" w:lineRule="auto"/>
                              <w:jc w:val="both"/>
                              <w:rPr>
                                <w:rFonts w:ascii="Times New Roman" w:hAnsi="Times New Roman" w:cs="Times New Roman"/>
                                <w:szCs w:val="20"/>
                                <w:lang w:eastAsia="ja-JP"/>
                              </w:rPr>
                            </w:pPr>
                            <w:r w:rsidRPr="007A4B66">
                              <w:rPr>
                                <w:rFonts w:ascii="Times New Roman" w:hAnsi="Times New Roman" w:cs="Times New Roman"/>
                                <w:szCs w:val="20"/>
                                <w:lang w:eastAsia="ja-JP"/>
                              </w:rPr>
                              <w:t>FFS: For the definition of “</w:t>
                            </w:r>
                            <w:r w:rsidRPr="007A4B66">
                              <w:rPr>
                                <w:rStyle w:val="msoins0"/>
                                <w:rFonts w:ascii="Times New Roman" w:eastAsia="Times New Roman" w:hAnsi="Times New Roman" w:cs="Times New Roman"/>
                                <w:szCs w:val="20"/>
                              </w:rPr>
                              <w:t>beam misalignment</w:t>
                            </w:r>
                            <w:r w:rsidRPr="007A4B66">
                              <w:rPr>
                                <w:rFonts w:ascii="Times New Roman" w:hAnsi="Times New Roman" w:cs="Times New Roman"/>
                                <w:szCs w:val="20"/>
                                <w:lang w:eastAsia="ja-JP"/>
                              </w:rPr>
                              <w:t xml:space="preserve"> or not”, at least consider the case where the periodic DL source RS in</w:t>
                            </w:r>
                            <w:r w:rsidRPr="007A4B66">
                              <w:rPr>
                                <w:rFonts w:ascii="Times New Roman" w:hAnsi="Times New Roman" w:cs="Times New Roman"/>
                                <w:szCs w:val="20"/>
                              </w:rPr>
                              <w:t> </w:t>
                            </w:r>
                            <w:r w:rsidRPr="007A4B66">
                              <w:rPr>
                                <w:rFonts w:ascii="Times New Roman" w:hAnsi="Times New Roman" w:cs="Times New Roman"/>
                                <w:szCs w:val="20"/>
                                <w:lang w:eastAsia="ja-JP"/>
                              </w:rPr>
                              <w:t>the UL or (if applicable) joint TCI state to provide spatial relation indication is configured/associated as the PL-RS</w:t>
                            </w:r>
                          </w:p>
                          <w:p w14:paraId="67AC2FA9" w14:textId="77777777" w:rsidR="00D65C4F" w:rsidRPr="000015D6" w:rsidRDefault="00D65C4F" w:rsidP="00D65C4F">
                            <w:pPr>
                              <w:numPr>
                                <w:ilvl w:val="0"/>
                                <w:numId w:val="46"/>
                              </w:numPr>
                              <w:snapToGrid w:val="0"/>
                              <w:spacing w:after="0" w:line="240" w:lineRule="auto"/>
                              <w:jc w:val="both"/>
                              <w:rPr>
                                <w:rFonts w:ascii="Times New Roman" w:eastAsia="Malgun Gothic" w:hAnsi="Times New Roman" w:cs="Times New Roman"/>
                                <w:szCs w:val="20"/>
                                <w:lang w:eastAsia="ja-JP"/>
                              </w:rPr>
                            </w:pPr>
                            <w:r w:rsidRPr="007A4B66">
                              <w:rPr>
                                <w:rFonts w:ascii="Times New Roman" w:hAnsi="Times New Roman" w:cs="Times New Roman"/>
                                <w:szCs w:val="20"/>
                                <w:lang w:eastAsia="ja-JP"/>
                              </w:rPr>
                              <w:t>Note: PL-RS is assumed to be periodic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 w14:anchorId="3E03B03B" id="Text Box 1" o:spid="_x0000_s1027" type="#_x0000_t202" style="width:487.5pt;height: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" fillcolor="white [3201]" strokeweight=".5pt">
                <v:textbox style="mso-fit-shape-to-text:t">
                  <w:txbxContent>
                    <w:p w14:paraId="5AC2C3BA" w14:textId="77777777" w:rsidR="00D65C4F" w:rsidRPr="007A4B66" w:rsidRDefault="00D65C4F" w:rsidP="00D65C4F">
                      <w:pPr>
                        <w:snapToGrid w:val="0"/>
                        <w:jc w:val="both"/>
                        <w:rPr>
                          <w:rFonts w:ascii="Times New Roman" w:hAnsi="Times New Roman" w:cs="Times New Roman"/>
                          <w:szCs w:val="20"/>
                          <w:highlight w:val="green"/>
                        </w:rPr>
                      </w:pPr>
                      <w:r w:rsidRPr="007A4B66">
                        <w:rPr>
                          <w:rFonts w:ascii="Times New Roman" w:hAnsi="Times New Roman" w:cs="Times New Roman"/>
                          <w:b/>
                          <w:szCs w:val="20"/>
                          <w:highlight w:val="green"/>
                        </w:rPr>
                        <w:t>Agreement</w:t>
                      </w:r>
                    </w:p>
                    <w:p w14:paraId="7CDB8D1C" w14:textId="77777777" w:rsidR="00D65C4F" w:rsidRPr="007A4B66" w:rsidRDefault="00D65C4F" w:rsidP="00D65C4F">
                      <w:pPr>
                        <w:snapToGrid w:val="0"/>
                        <w:jc w:val="both"/>
                        <w:rPr>
                          <w:rFonts w:ascii="Times New Roman" w:hAnsi="Times New Roman" w:cs="Times New Roman"/>
                          <w:szCs w:val="20"/>
                        </w:rPr>
                      </w:pPr>
                      <w:r w:rsidRPr="007A4B66">
                        <w:rPr>
                          <w:rFonts w:ascii="Times New Roman" w:hAnsi="Times New Roman" w:cs="Times New Roman"/>
                          <w:szCs w:val="20"/>
                        </w:rPr>
                        <w:t>On path-loss measurement for Rel.17 unified TCI framework</w:t>
                      </w:r>
                      <w:r w:rsidRPr="007A4B66">
                        <w:rPr>
                          <w:rFonts w:ascii="Times New Roman" w:hAnsi="Times New Roman" w:cs="Times New Roman"/>
                          <w:szCs w:val="20"/>
                          <w:lang w:eastAsia="ja-JP"/>
                        </w:rPr>
                        <w:t>, a PL-RS (configured for path-loss calculation) is either included in</w:t>
                      </w:r>
                      <w:r w:rsidRPr="007A4B66">
                        <w:rPr>
                          <w:rStyle w:val="apple-converted-space"/>
                          <w:rFonts w:ascii="Times New Roman" w:hAnsi="Times New Roman" w:cs="Times New Roman"/>
                          <w:szCs w:val="20"/>
                          <w:lang w:eastAsia="ja-JP"/>
                        </w:rPr>
                        <w:t> </w:t>
                      </w:r>
                      <w:r w:rsidRPr="007A4B66">
                        <w:rPr>
                          <w:rStyle w:val="apple-converted-space"/>
                          <w:rFonts w:ascii="Times New Roman" w:hAnsi="Times New Roman" w:cs="Times New Roman"/>
                          <w:szCs w:val="20"/>
                          <w:lang w:eastAsia="zh-CN"/>
                        </w:rPr>
                        <w:t xml:space="preserve">UL </w:t>
                      </w:r>
                      <w:r w:rsidRPr="007A4B66">
                        <w:rPr>
                          <w:rStyle w:val="apple-converted-space"/>
                          <w:rFonts w:ascii="Times New Roman" w:hAnsi="Times New Roman" w:cs="Times New Roman"/>
                          <w:szCs w:val="20"/>
                          <w:lang w:eastAsia="ja-JP"/>
                        </w:rPr>
                        <w:t>TCI state</w:t>
                      </w:r>
                      <w:r w:rsidRPr="007A4B66">
                        <w:rPr>
                          <w:rStyle w:val="apple-converted-space"/>
                          <w:rFonts w:ascii="Times New Roman" w:hAnsi="Times New Roman" w:cs="Times New Roman"/>
                          <w:szCs w:val="20"/>
                          <w:lang w:eastAsia="zh-CN"/>
                        </w:rPr>
                        <w:t xml:space="preserve"> or (if applicable) joint TCI state</w:t>
                      </w:r>
                      <w:r w:rsidRPr="007A4B66">
                        <w:rPr>
                          <w:rStyle w:val="apple-converted-space"/>
                          <w:rFonts w:ascii="Times New Roman" w:hAnsi="Times New Roman" w:cs="Times New Roman"/>
                          <w:szCs w:val="20"/>
                          <w:lang w:eastAsia="ja-JP"/>
                        </w:rPr>
                        <w:t xml:space="preserve"> or associated with </w:t>
                      </w:r>
                      <w:r w:rsidRPr="007A4B66">
                        <w:rPr>
                          <w:rFonts w:ascii="Times New Roman" w:hAnsi="Times New Roman" w:cs="Times New Roman"/>
                          <w:szCs w:val="20"/>
                          <w:lang w:eastAsia="ja-JP"/>
                        </w:rPr>
                        <w:t>UL TCI state or (if applicable) joint TCI state.</w:t>
                      </w:r>
                    </w:p>
                    <w:p w14:paraId="0DC16383" w14:textId="77777777" w:rsidR="00D65C4F" w:rsidRPr="007A4B66" w:rsidRDefault="00D65C4F" w:rsidP="00D65C4F">
                      <w:pPr>
                        <w:pStyle w:val="ListParagraph"/>
                        <w:numPr>
                          <w:ilvl w:val="0"/>
                          <w:numId w:val="47"/>
                        </w:numPr>
                        <w:snapToGrid w:val="0"/>
                        <w:spacing w:line="240" w:lineRule="auto"/>
                        <w:jc w:val="both"/>
                        <w:rPr>
                          <w:rFonts w:ascii="Times New Roman" w:hAnsi="Times New Roman" w:cs="Times New Roman"/>
                          <w:sz w:val="20"/>
                          <w:szCs w:val="20"/>
                          <w:lang w:eastAsia="ko-KR"/>
                        </w:rPr>
                      </w:pPr>
                      <w:r w:rsidRPr="007A4B66">
                        <w:rPr>
                          <w:rStyle w:val="msoins0"/>
                          <w:rFonts w:ascii="Times New Roman" w:eastAsia="Times New Roman" w:hAnsi="Times New Roman" w:cs="Times New Roman"/>
                          <w:sz w:val="20"/>
                          <w:szCs w:val="20"/>
                        </w:rPr>
                        <w:t>Whether a UE supports “beam misalignment or not” (detailed definition FFS)</w:t>
                      </w:r>
                      <w:r w:rsidRPr="007A4B66">
                        <w:rPr>
                          <w:rStyle w:val="apple-converted-space"/>
                          <w:rFonts w:ascii="Times New Roman" w:eastAsia="Times New Roman" w:hAnsi="Times New Roman" w:cs="Times New Roman"/>
                          <w:sz w:val="20"/>
                          <w:szCs w:val="20"/>
                        </w:rPr>
                        <w:t> </w:t>
                      </w:r>
                      <w:r w:rsidRPr="007A4B66">
                        <w:rPr>
                          <w:rStyle w:val="msoins0"/>
                          <w:rFonts w:ascii="Times New Roman" w:eastAsia="Times New Roman" w:hAnsi="Times New Roman" w:cs="Times New Roman"/>
                          <w:sz w:val="20"/>
                          <w:szCs w:val="20"/>
                        </w:rPr>
                        <w:t>between</w:t>
                      </w:r>
                      <w:r w:rsidRPr="007A4B66">
                        <w:rPr>
                          <w:rStyle w:val="apple-converted-space"/>
                          <w:rFonts w:ascii="Times New Roman" w:eastAsia="Times New Roman" w:hAnsi="Times New Roman" w:cs="Times New Roman"/>
                          <w:sz w:val="20"/>
                          <w:szCs w:val="20"/>
                        </w:rPr>
                        <w:t> </w:t>
                      </w:r>
                      <w:r w:rsidRPr="007A4B66">
                        <w:rPr>
                          <w:rStyle w:val="apple-converted-space"/>
                          <w:rFonts w:ascii="Times New Roman" w:hAnsi="Times New Roman" w:cs="Times New Roman"/>
                          <w:sz w:val="20"/>
                          <w:szCs w:val="20"/>
                          <w:lang w:eastAsia="ja-JP"/>
                        </w:rPr>
                        <w:t>the</w:t>
                      </w:r>
                      <w:r w:rsidRPr="007A4B66">
                        <w:rPr>
                          <w:rFonts w:ascii="Times New Roman" w:hAnsi="Times New Roman" w:cs="Times New Roman"/>
                          <w:sz w:val="20"/>
                          <w:szCs w:val="20"/>
                          <w:lang w:eastAsia="ja-JP"/>
                        </w:rPr>
                        <w:t xml:space="preserve"> DL </w:t>
                      </w:r>
                      <w:r w:rsidRPr="007A4B66">
                        <w:rPr>
                          <w:rFonts w:ascii="Times New Roman" w:eastAsia="Times New Roman" w:hAnsi="Times New Roman" w:cs="Times New Roman"/>
                          <w:sz w:val="20"/>
                          <w:szCs w:val="20"/>
                        </w:rPr>
                        <w:t xml:space="preserve">source </w:t>
                      </w:r>
                      <w:r w:rsidRPr="007A4B66">
                        <w:rPr>
                          <w:rFonts w:ascii="Times New Roman" w:hAnsi="Times New Roman" w:cs="Times New Roman"/>
                          <w:sz w:val="20"/>
                          <w:szCs w:val="20"/>
                          <w:lang w:eastAsia="ja-JP"/>
                        </w:rPr>
                        <w:t>RS in</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the UL or (if applicable) joint TCI state</w:t>
                      </w:r>
                      <w:r w:rsidRPr="007A4B66">
                        <w:rPr>
                          <w:rStyle w:val="apple-converted-space"/>
                          <w:rFonts w:ascii="Times New Roman" w:hAnsi="Times New Roman" w:cs="Times New Roman"/>
                          <w:sz w:val="20"/>
                          <w:szCs w:val="20"/>
                          <w:lang w:eastAsia="ja-JP"/>
                        </w:rPr>
                        <w:t> </w:t>
                      </w:r>
                      <w:r w:rsidRPr="007A4B66">
                        <w:rPr>
                          <w:rFonts w:ascii="Times New Roman" w:hAnsi="Times New Roman" w:cs="Times New Roman"/>
                          <w:sz w:val="20"/>
                          <w:szCs w:val="20"/>
                          <w:lang w:eastAsia="ja-JP"/>
                        </w:rPr>
                        <w:t>to provide spatial relation indication and the PL-RS is a UE capability</w:t>
                      </w:r>
                    </w:p>
                    <w:p w14:paraId="4F134146" w14:textId="77777777" w:rsidR="00D65C4F" w:rsidRPr="007A4B66" w:rsidRDefault="00D65C4F" w:rsidP="00D65C4F">
                      <w:pPr>
                        <w:pStyle w:val="ListParagraph"/>
                        <w:numPr>
                          <w:ilvl w:val="1"/>
                          <w:numId w:val="47"/>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Note: The term “</w:t>
                      </w:r>
                      <w:r w:rsidRPr="007A4B66">
                        <w:rPr>
                          <w:rStyle w:val="msoins0"/>
                          <w:rFonts w:ascii="Times New Roman" w:eastAsia="Times New Roman" w:hAnsi="Times New Roman" w:cs="Times New Roman"/>
                          <w:sz w:val="20"/>
                          <w:szCs w:val="20"/>
                        </w:rPr>
                        <w:t>beam misalignment</w:t>
                      </w:r>
                      <w:r w:rsidRPr="007A4B66">
                        <w:rPr>
                          <w:rFonts w:ascii="Times New Roman" w:hAnsi="Times New Roman" w:cs="Times New Roman"/>
                          <w:sz w:val="20"/>
                          <w:szCs w:val="20"/>
                          <w:lang w:eastAsia="ja-JP"/>
                        </w:rPr>
                        <w:t>” is for discussion purpose only</w:t>
                      </w:r>
                    </w:p>
                    <w:p w14:paraId="30BC0C79" w14:textId="77777777" w:rsidR="00D65C4F" w:rsidRPr="007A4B66" w:rsidRDefault="00D65C4F" w:rsidP="00D65C4F">
                      <w:pPr>
                        <w:pStyle w:val="ListParagraph"/>
                        <w:numPr>
                          <w:ilvl w:val="0"/>
                          <w:numId w:val="47"/>
                        </w:numPr>
                        <w:snapToGrid w:val="0"/>
                        <w:spacing w:line="240" w:lineRule="auto"/>
                        <w:jc w:val="both"/>
                        <w:rPr>
                          <w:rFonts w:ascii="Times New Roman" w:hAnsi="Times New Roman" w:cs="Times New Roman"/>
                          <w:sz w:val="20"/>
                          <w:szCs w:val="20"/>
                          <w:lang w:eastAsia="ko-KR"/>
                        </w:rPr>
                      </w:pPr>
                      <w:r w:rsidRPr="007A4B66">
                        <w:rPr>
                          <w:rFonts w:ascii="Times New Roman" w:hAnsi="Times New Roman" w:cs="Times New Roman"/>
                          <w:sz w:val="20"/>
                          <w:szCs w:val="20"/>
                          <w:lang w:eastAsia="ja-JP"/>
                        </w:rPr>
                        <w:t xml:space="preserve">Whether it is ‘included in’ or ‘associated with’ (including the manner it is performed and the </w:t>
                      </w:r>
                      <w:proofErr w:type="spellStart"/>
                      <w:r w:rsidRPr="007A4B66">
                        <w:rPr>
                          <w:rFonts w:ascii="Times New Roman" w:hAnsi="Times New Roman" w:cs="Times New Roman"/>
                          <w:sz w:val="20"/>
                          <w:szCs w:val="20"/>
                          <w:lang w:eastAsia="ja-JP"/>
                        </w:rPr>
                        <w:t>signaling</w:t>
                      </w:r>
                      <w:proofErr w:type="spellEnd"/>
                      <w:r w:rsidRPr="007A4B66">
                        <w:rPr>
                          <w:rFonts w:ascii="Times New Roman" w:hAnsi="Times New Roman" w:cs="Times New Roman"/>
                          <w:sz w:val="20"/>
                          <w:szCs w:val="20"/>
                          <w:lang w:eastAsia="ja-JP"/>
                        </w:rPr>
                        <w:t>) is up to RAN2</w:t>
                      </w:r>
                    </w:p>
                    <w:p w14:paraId="393742F7" w14:textId="77777777" w:rsidR="00D65C4F" w:rsidRPr="007A4B66" w:rsidRDefault="00D65C4F" w:rsidP="00D65C4F">
                      <w:pPr>
                        <w:numPr>
                          <w:ilvl w:val="0"/>
                          <w:numId w:val="46"/>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UE maintains the PL-RS of the activated UL TCI state or (if applicable) joint TCI state</w:t>
                      </w:r>
                    </w:p>
                    <w:p w14:paraId="1810E2BD" w14:textId="77777777" w:rsidR="00D65C4F" w:rsidRPr="007A4B66" w:rsidRDefault="00D65C4F" w:rsidP="00D65C4F">
                      <w:pPr>
                        <w:numPr>
                          <w:ilvl w:val="0"/>
                          <w:numId w:val="46"/>
                        </w:numPr>
                        <w:snapToGrid w:val="0"/>
                        <w:spacing w:after="0" w:line="240" w:lineRule="auto"/>
                        <w:jc w:val="both"/>
                        <w:rPr>
                          <w:rFonts w:ascii="Times New Roman" w:eastAsia="Times New Roman" w:hAnsi="Times New Roman" w:cs="Times New Roman"/>
                          <w:szCs w:val="20"/>
                        </w:rPr>
                      </w:pPr>
                      <w:r w:rsidRPr="007A4B66">
                        <w:rPr>
                          <w:rFonts w:ascii="Times New Roman" w:eastAsia="Times New Roman" w:hAnsi="Times New Roman" w:cs="Times New Roman"/>
                          <w:szCs w:val="20"/>
                        </w:rPr>
                        <w:t>The maximum number of activated UL TCI states or (if applicable) joint TCI states per band per cell is a UE capability</w:t>
                      </w:r>
                    </w:p>
                    <w:p w14:paraId="5AD71A71" w14:textId="77777777" w:rsidR="00D65C4F" w:rsidRPr="007A4B66" w:rsidRDefault="00D65C4F" w:rsidP="00D65C4F">
                      <w:pPr>
                        <w:numPr>
                          <w:ilvl w:val="0"/>
                          <w:numId w:val="46"/>
                        </w:numPr>
                        <w:snapToGrid w:val="0"/>
                        <w:spacing w:after="0" w:line="240" w:lineRule="auto"/>
                        <w:jc w:val="both"/>
                        <w:rPr>
                          <w:rFonts w:ascii="Times New Roman" w:eastAsia="Times New Roman" w:hAnsi="Times New Roman" w:cs="Times New Roman"/>
                          <w:szCs w:val="20"/>
                          <w:lang w:eastAsia="ko-KR"/>
                        </w:rPr>
                      </w:pPr>
                      <w:r w:rsidRPr="007A4B66">
                        <w:rPr>
                          <w:rFonts w:ascii="Times New Roman" w:hAnsi="Times New Roman" w:cs="Times New Roman"/>
                          <w:szCs w:val="20"/>
                          <w:lang w:eastAsia="ja-JP"/>
                        </w:rPr>
                        <w:t xml:space="preserve">FFS: detailed aspects of PL-RS, </w:t>
                      </w:r>
                      <w:proofErr w:type="gramStart"/>
                      <w:r w:rsidRPr="007A4B66">
                        <w:rPr>
                          <w:rFonts w:ascii="Times New Roman" w:hAnsi="Times New Roman" w:cs="Times New Roman"/>
                          <w:szCs w:val="20"/>
                          <w:lang w:eastAsia="ja-JP"/>
                        </w:rPr>
                        <w:t>e.g.</w:t>
                      </w:r>
                      <w:proofErr w:type="gramEnd"/>
                      <w:r w:rsidRPr="007A4B66">
                        <w:rPr>
                          <w:rFonts w:ascii="Times New Roman" w:hAnsi="Times New Roman" w:cs="Times New Roman"/>
                          <w:szCs w:val="20"/>
                          <w:lang w:eastAsia="ja-JP"/>
                        </w:rPr>
                        <w:t xml:space="preserve"> CSI-RS type(s), restriction on configuration</w:t>
                      </w:r>
                    </w:p>
                    <w:p w14:paraId="091E3A38" w14:textId="77777777" w:rsidR="00D65C4F" w:rsidRPr="007A4B66" w:rsidRDefault="00D65C4F" w:rsidP="00D65C4F">
                      <w:pPr>
                        <w:numPr>
                          <w:ilvl w:val="0"/>
                          <w:numId w:val="46"/>
                        </w:numPr>
                        <w:snapToGrid w:val="0"/>
                        <w:spacing w:after="0" w:line="240" w:lineRule="auto"/>
                        <w:jc w:val="both"/>
                        <w:rPr>
                          <w:rFonts w:ascii="Times New Roman" w:hAnsi="Times New Roman" w:cs="Times New Roman"/>
                          <w:szCs w:val="20"/>
                          <w:lang w:eastAsia="ja-JP"/>
                        </w:rPr>
                      </w:pPr>
                      <w:r w:rsidRPr="007A4B66">
                        <w:rPr>
                          <w:rFonts w:ascii="Times New Roman" w:hAnsi="Times New Roman" w:cs="Times New Roman"/>
                          <w:szCs w:val="20"/>
                          <w:lang w:eastAsia="ja-JP"/>
                        </w:rPr>
                        <w:t>FFS: For the definition of “</w:t>
                      </w:r>
                      <w:r w:rsidRPr="007A4B66">
                        <w:rPr>
                          <w:rStyle w:val="msoins0"/>
                          <w:rFonts w:ascii="Times New Roman" w:eastAsia="Times New Roman" w:hAnsi="Times New Roman" w:cs="Times New Roman"/>
                          <w:szCs w:val="20"/>
                        </w:rPr>
                        <w:t>beam misalignment</w:t>
                      </w:r>
                      <w:r w:rsidRPr="007A4B66">
                        <w:rPr>
                          <w:rFonts w:ascii="Times New Roman" w:hAnsi="Times New Roman" w:cs="Times New Roman"/>
                          <w:szCs w:val="20"/>
                          <w:lang w:eastAsia="ja-JP"/>
                        </w:rPr>
                        <w:t xml:space="preserve"> or not”, at least consider the case where the periodic DL source RS in</w:t>
                      </w:r>
                      <w:r w:rsidRPr="007A4B66">
                        <w:rPr>
                          <w:rFonts w:ascii="Times New Roman" w:hAnsi="Times New Roman" w:cs="Times New Roman"/>
                          <w:szCs w:val="20"/>
                        </w:rPr>
                        <w:t> </w:t>
                      </w:r>
                      <w:r w:rsidRPr="007A4B66">
                        <w:rPr>
                          <w:rFonts w:ascii="Times New Roman" w:hAnsi="Times New Roman" w:cs="Times New Roman"/>
                          <w:szCs w:val="20"/>
                          <w:lang w:eastAsia="ja-JP"/>
                        </w:rPr>
                        <w:t>the UL or (if applicable) joint TCI state to provide spatial relation indication is configured/associated as the PL-RS</w:t>
                      </w:r>
                    </w:p>
                    <w:p w14:paraId="67AC2FA9" w14:textId="77777777" w:rsidR="00D65C4F" w:rsidRPr="000015D6" w:rsidRDefault="00D65C4F" w:rsidP="00D65C4F">
                      <w:pPr>
                        <w:numPr>
                          <w:ilvl w:val="0"/>
                          <w:numId w:val="46"/>
                        </w:numPr>
                        <w:snapToGrid w:val="0"/>
                        <w:spacing w:after="0" w:line="240" w:lineRule="auto"/>
                        <w:jc w:val="both"/>
                        <w:rPr>
                          <w:rFonts w:ascii="Times New Roman" w:eastAsia="Malgun Gothic" w:hAnsi="Times New Roman" w:cs="Times New Roman"/>
                          <w:szCs w:val="20"/>
                          <w:lang w:eastAsia="ja-JP"/>
                        </w:rPr>
                      </w:pPr>
                      <w:r w:rsidRPr="007A4B66">
                        <w:rPr>
                          <w:rFonts w:ascii="Times New Roman" w:hAnsi="Times New Roman" w:cs="Times New Roman"/>
                          <w:szCs w:val="20"/>
                          <w:lang w:eastAsia="ja-JP"/>
                        </w:rPr>
                        <w:t>Note: PL-RS is assumed to be periodic</w:t>
                      </w:r>
                    </w:p>
                  </w:txbxContent>
                </v:textbox>
                <w10:anchorlock/>
              </v:shape>
            </w:pict>
          </mc:Fallback>
        </mc:AlternateContent>
      </w:r>
    </w:p>
    <w:p w14:paraId="6258CBEA" w14:textId="67A26C71" w:rsidR="0029764C" w:rsidRDefault="0029764C" w:rsidP="00F529A5">
      <w:pPr>
        <w:pStyle w:val="Heading3"/>
      </w:pPr>
      <w:r>
        <w:t>2.1.2</w:t>
      </w:r>
      <w:r>
        <w:tab/>
        <w:t xml:space="preserve">Coexistence </w:t>
      </w:r>
      <w:r w:rsidR="00C847E3">
        <w:t xml:space="preserve">between unified TCI and </w:t>
      </w:r>
      <w:r w:rsidR="008A3198">
        <w:t xml:space="preserve">legacy </w:t>
      </w:r>
      <w:r w:rsidR="00C847E3">
        <w:t xml:space="preserve">power control </w:t>
      </w:r>
    </w:p>
    <w:p w14:paraId="5B7C6832" w14:textId="1C9E4D18" w:rsidR="00964D32" w:rsidRDefault="00364A7E" w:rsidP="00C847E3">
      <w:pPr>
        <w:pStyle w:val="BodyText"/>
      </w:pPr>
      <w:r>
        <w:rPr>
          <w:lang w:val="en-GB" w:eastAsia="ja-JP"/>
        </w:rPr>
        <w:t xml:space="preserve">When unified TCI is configured, the power control </w:t>
      </w:r>
      <w:r w:rsidR="008A3198">
        <w:rPr>
          <w:lang w:val="en-GB" w:eastAsia="ja-JP"/>
        </w:rPr>
        <w:t xml:space="preserve">parameters, including the pathloss RS, </w:t>
      </w:r>
      <w:r>
        <w:rPr>
          <w:lang w:val="en-GB" w:eastAsia="ja-JP"/>
        </w:rPr>
        <w:t xml:space="preserve">are associated </w:t>
      </w:r>
      <w:r w:rsidR="003C7EA6">
        <w:rPr>
          <w:lang w:val="en-GB" w:eastAsia="ja-JP"/>
        </w:rPr>
        <w:t xml:space="preserve">with </w:t>
      </w:r>
      <w:r w:rsidR="00CD5805">
        <w:rPr>
          <w:lang w:val="en-GB" w:eastAsia="ja-JP"/>
        </w:rPr>
        <w:t xml:space="preserve">the TCI state. </w:t>
      </w:r>
      <w:r w:rsidR="008A3198">
        <w:rPr>
          <w:lang w:val="en-GB" w:eastAsia="ja-JP"/>
        </w:rPr>
        <w:t xml:space="preserve">In legacy, another paradigm is used. </w:t>
      </w:r>
      <w:r w:rsidR="00F95FAE">
        <w:rPr>
          <w:lang w:val="en-GB" w:eastAsia="ja-JP"/>
        </w:rPr>
        <w:t>Since t</w:t>
      </w:r>
      <w:r w:rsidR="008A3198">
        <w:rPr>
          <w:lang w:val="en-GB" w:eastAsia="ja-JP"/>
        </w:rPr>
        <w:t xml:space="preserve">he two solutions are not to be used in </w:t>
      </w:r>
      <w:r w:rsidR="00F95FAE">
        <w:rPr>
          <w:lang w:val="en-GB" w:eastAsia="ja-JP"/>
        </w:rPr>
        <w:t xml:space="preserve">parallel, </w:t>
      </w:r>
      <w:r w:rsidR="00A36AA3">
        <w:rPr>
          <w:lang w:val="en-GB" w:eastAsia="ja-JP"/>
        </w:rPr>
        <w:t>the corresponding parameters should only be configured in either framework.</w:t>
      </w:r>
    </w:p>
    <w:p w14:paraId="01D761C8" w14:textId="00005C34" w:rsidR="00C847E3" w:rsidRPr="00A36AA3" w:rsidRDefault="00E91F48" w:rsidP="00964D32">
      <w:pPr>
        <w:pStyle w:val="Proposal"/>
        <w:rPr>
          <w:lang w:val="en-GB" w:eastAsia="ja-JP"/>
        </w:rPr>
      </w:pPr>
      <w:bookmarkStart w:id="3" w:name="_Toc101783065"/>
      <w:r>
        <w:t>When the NW configures</w:t>
      </w:r>
      <w:r w:rsidR="001716D7">
        <w:t xml:space="preserve"> </w:t>
      </w:r>
      <w:r w:rsidR="00734BEA" w:rsidRPr="00740BCD">
        <w:t>Uplink-powerControl</w:t>
      </w:r>
      <w:r w:rsidR="00734BEA">
        <w:t>-r17</w:t>
      </w:r>
      <w:r>
        <w:t xml:space="preserve">, the </w:t>
      </w:r>
      <w:r w:rsidR="00F53DC3">
        <w:t xml:space="preserve">corresponding power control parameters </w:t>
      </w:r>
      <w:r>
        <w:t xml:space="preserve">should not be </w:t>
      </w:r>
      <w:r w:rsidR="00A36AA3">
        <w:t xml:space="preserve">provided in </w:t>
      </w:r>
      <w:r w:rsidR="00F53DC3">
        <w:t>PUCCH-</w:t>
      </w:r>
      <w:proofErr w:type="spellStart"/>
      <w:r w:rsidR="00F53DC3">
        <w:t>PowerControl</w:t>
      </w:r>
      <w:proofErr w:type="spellEnd"/>
      <w:r w:rsidR="00F53DC3">
        <w:t>, PUSCH-</w:t>
      </w:r>
      <w:proofErr w:type="spellStart"/>
      <w:r w:rsidR="00F53DC3">
        <w:t>PowerControl</w:t>
      </w:r>
      <w:proofErr w:type="spellEnd"/>
      <w:r w:rsidR="00F53DC3">
        <w:t xml:space="preserve"> or SRS-Config</w:t>
      </w:r>
      <w:r w:rsidR="00A36AA3">
        <w:t>.</w:t>
      </w:r>
      <w:bookmarkEnd w:id="3"/>
    </w:p>
    <w:p w14:paraId="28DDD922" w14:textId="50756A79" w:rsidR="00A36AA3" w:rsidRDefault="00A36AA3" w:rsidP="00A36AA3">
      <w:pPr>
        <w:pStyle w:val="BodyText"/>
      </w:pPr>
      <w:r>
        <w:rPr>
          <w:lang w:val="en-GB" w:eastAsia="ja-JP"/>
        </w:rPr>
        <w:t xml:space="preserve">This restriction </w:t>
      </w:r>
      <w:r w:rsidR="00B65CA7">
        <w:rPr>
          <w:lang w:val="en-GB" w:eastAsia="ja-JP"/>
        </w:rPr>
        <w:t xml:space="preserve">could be captured in the field description </w:t>
      </w:r>
      <w:r w:rsidR="00D63A2F">
        <w:rPr>
          <w:lang w:val="en-GB" w:eastAsia="ja-JP"/>
        </w:rPr>
        <w:t>of</w:t>
      </w:r>
      <w:r w:rsidR="00B65CA7">
        <w:rPr>
          <w:lang w:val="en-GB" w:eastAsia="ja-JP"/>
        </w:rPr>
        <w:t xml:space="preserve"> </w:t>
      </w:r>
      <w:r w:rsidR="00D63A2F" w:rsidRPr="00740BCD">
        <w:t>Uplink-powerControl</w:t>
      </w:r>
      <w:r w:rsidR="00D63A2F">
        <w:t>-r17.</w:t>
      </w:r>
    </w:p>
    <w:p w14:paraId="43828836" w14:textId="76A297BE" w:rsidR="00D63A2F" w:rsidRDefault="00F026B0" w:rsidP="00090584">
      <w:pPr>
        <w:pStyle w:val="Heading3"/>
      </w:pPr>
      <w:r>
        <w:t>2.1.3</w:t>
      </w:r>
      <w:r>
        <w:tab/>
      </w:r>
      <w:r w:rsidR="00090584">
        <w:t>Inter-cell beam management and enhanced PHR reporting</w:t>
      </w:r>
    </w:p>
    <w:p w14:paraId="56A43B20" w14:textId="01783C87" w:rsidR="00090584" w:rsidRDefault="00593954" w:rsidP="00090584">
      <w:pPr>
        <w:rPr>
          <w:lang w:val="en-GB" w:eastAsia="ja-JP"/>
        </w:rPr>
      </w:pPr>
      <w:r>
        <w:rPr>
          <w:lang w:val="en-GB" w:eastAsia="ja-JP"/>
        </w:rPr>
        <w:t>In Rel-17, inter-cell beam management was introduced</w:t>
      </w:r>
      <w:r w:rsidR="009F5B4D">
        <w:rPr>
          <w:lang w:val="en-GB" w:eastAsia="ja-JP"/>
        </w:rPr>
        <w:t xml:space="preserve">. The underlying idea was to remove the artificial restriction that all TRPs that </w:t>
      </w:r>
      <w:r w:rsidR="00ED4304">
        <w:rPr>
          <w:lang w:val="en-GB" w:eastAsia="ja-JP"/>
        </w:rPr>
        <w:t xml:space="preserve">are involved in beam management must broadcast the same PCI. </w:t>
      </w:r>
      <w:r w:rsidR="00102106">
        <w:rPr>
          <w:lang w:val="en-GB" w:eastAsia="ja-JP"/>
        </w:rPr>
        <w:t xml:space="preserve">From now on, the target must be that no beam management features should be constrained </w:t>
      </w:r>
      <w:r w:rsidR="00C02CC3">
        <w:rPr>
          <w:lang w:val="en-GB" w:eastAsia="ja-JP"/>
        </w:rPr>
        <w:t xml:space="preserve">by the PCI </w:t>
      </w:r>
      <w:r w:rsidR="00AE16E9">
        <w:rPr>
          <w:lang w:val="en-GB" w:eastAsia="ja-JP"/>
        </w:rPr>
        <w:t xml:space="preserve">broadcast by </w:t>
      </w:r>
      <w:r w:rsidR="00C02CC3">
        <w:rPr>
          <w:lang w:val="en-GB" w:eastAsia="ja-JP"/>
        </w:rPr>
        <w:t xml:space="preserve">the </w:t>
      </w:r>
      <w:r w:rsidR="00AE16E9">
        <w:rPr>
          <w:lang w:val="en-GB" w:eastAsia="ja-JP"/>
        </w:rPr>
        <w:t xml:space="preserve">TRPs. </w:t>
      </w:r>
    </w:p>
    <w:p w14:paraId="7CB6B1D3" w14:textId="0738820A" w:rsidR="00AE16E9" w:rsidRDefault="00AE16E9" w:rsidP="00090584">
      <w:pPr>
        <w:rPr>
          <w:lang w:val="en-GB" w:eastAsia="ja-JP"/>
        </w:rPr>
      </w:pPr>
      <w:r>
        <w:rPr>
          <w:lang w:val="en-GB" w:eastAsia="ja-JP"/>
        </w:rPr>
        <w:lastRenderedPageBreak/>
        <w:t xml:space="preserve">One of the additional features that were </w:t>
      </w:r>
      <w:r w:rsidR="007B7F57">
        <w:rPr>
          <w:lang w:val="en-GB" w:eastAsia="ja-JP"/>
        </w:rPr>
        <w:t xml:space="preserve">specified in Rel-17 is the enhanced PHR, where the UE can include </w:t>
      </w:r>
      <w:r w:rsidR="000D1CD2">
        <w:rPr>
          <w:lang w:val="en-GB" w:eastAsia="ja-JP"/>
        </w:rPr>
        <w:t>(</w:t>
      </w:r>
      <w:proofErr w:type="gramStart"/>
      <w:r w:rsidR="000D1CD2">
        <w:rPr>
          <w:lang w:val="en-GB" w:eastAsia="ja-JP"/>
        </w:rPr>
        <w:t>SSBRI,PH</w:t>
      </w:r>
      <w:proofErr w:type="gramEnd"/>
      <w:r w:rsidR="000D1CD2">
        <w:rPr>
          <w:lang w:val="en-GB" w:eastAsia="ja-JP"/>
        </w:rPr>
        <w:t>) pairs in the report</w:t>
      </w:r>
      <w:r w:rsidR="00F32C60">
        <w:rPr>
          <w:lang w:val="en-GB" w:eastAsia="ja-JP"/>
        </w:rPr>
        <w:t xml:space="preserve">. The SSBRI provides the NW with </w:t>
      </w:r>
      <w:r w:rsidR="002E08A3">
        <w:rPr>
          <w:lang w:val="en-GB" w:eastAsia="ja-JP"/>
        </w:rPr>
        <w:t>an alternative beam</w:t>
      </w:r>
      <w:r w:rsidR="009E68F7">
        <w:rPr>
          <w:lang w:val="en-GB" w:eastAsia="ja-JP"/>
        </w:rPr>
        <w:t xml:space="preserve">, from a configured set of candidate beams. Since we are trying to remove the </w:t>
      </w:r>
      <w:r w:rsidR="00A13D8C">
        <w:rPr>
          <w:lang w:val="en-GB" w:eastAsia="ja-JP"/>
        </w:rPr>
        <w:t xml:space="preserve">artificial PCI </w:t>
      </w:r>
      <w:r w:rsidR="009E68F7">
        <w:rPr>
          <w:lang w:val="en-GB" w:eastAsia="ja-JP"/>
        </w:rPr>
        <w:t>restrictions</w:t>
      </w:r>
      <w:r w:rsidR="00A13D8C">
        <w:rPr>
          <w:lang w:val="en-GB" w:eastAsia="ja-JP"/>
        </w:rPr>
        <w:t xml:space="preserve">, the configured candidate beams (reference signals) should not be limited to the reference signals of the serving cell. </w:t>
      </w:r>
      <w:r w:rsidR="008B0665">
        <w:rPr>
          <w:lang w:val="en-GB" w:eastAsia="ja-JP"/>
        </w:rPr>
        <w:t>Hence, we</w:t>
      </w:r>
      <w:r w:rsidR="00A13D8C">
        <w:rPr>
          <w:lang w:val="en-GB" w:eastAsia="ja-JP"/>
        </w:rPr>
        <w:t xml:space="preserve"> propose</w:t>
      </w:r>
    </w:p>
    <w:p w14:paraId="04C903CF" w14:textId="0F754AB2" w:rsidR="00A13D8C" w:rsidRPr="00D42B54" w:rsidRDefault="00CC6047" w:rsidP="00A13D8C">
      <w:pPr>
        <w:pStyle w:val="Proposal"/>
        <w:rPr>
          <w:lang w:val="en-GB" w:eastAsia="ja-JP"/>
        </w:rPr>
      </w:pPr>
      <w:bookmarkStart w:id="4" w:name="_Toc101783066"/>
      <w:r>
        <w:t>An explicit PCI</w:t>
      </w:r>
      <w:r w:rsidR="003E7C89">
        <w:t xml:space="preserve">, or </w:t>
      </w:r>
      <w:r w:rsidR="00D42B54" w:rsidRPr="00740BCD">
        <w:t>AdditionalPCIIndex-r17,</w:t>
      </w:r>
      <w:r>
        <w:t xml:space="preserve"> is needed for the MPE resource configuration.</w:t>
      </w:r>
      <w:bookmarkEnd w:id="4"/>
    </w:p>
    <w:p w14:paraId="4CEBAA08" w14:textId="19580F89" w:rsidR="005E5D3C" w:rsidRDefault="00CF7E7D" w:rsidP="005E5D3C">
      <w:pPr>
        <w:pStyle w:val="Heading2"/>
      </w:pPr>
      <w:r>
        <w:t>2.</w:t>
      </w:r>
      <w:r w:rsidR="00BE3764">
        <w:t>2</w:t>
      </w:r>
      <w:r>
        <w:tab/>
      </w:r>
      <w:r w:rsidR="005E5D3C" w:rsidRPr="005E5D3C">
        <w:t xml:space="preserve">BFD for </w:t>
      </w:r>
      <w:r w:rsidR="003C6386">
        <w:t>the Rel-17 TCI framework</w:t>
      </w:r>
    </w:p>
    <w:p w14:paraId="57B29F16" w14:textId="5BF3AC95" w:rsidR="00E72333" w:rsidRDefault="00495482" w:rsidP="00E72333">
      <w:pPr>
        <w:rPr>
          <w:lang w:val="en-GB" w:eastAsia="ja-JP"/>
        </w:rPr>
      </w:pPr>
      <w:r>
        <w:rPr>
          <w:lang w:val="en-GB" w:eastAsia="ja-JP"/>
        </w:rPr>
        <w:t xml:space="preserve">As part of the </w:t>
      </w:r>
      <w:r w:rsidR="00B83530">
        <w:rPr>
          <w:lang w:val="en-GB" w:eastAsia="ja-JP"/>
        </w:rPr>
        <w:t xml:space="preserve">link </w:t>
      </w:r>
      <w:r>
        <w:rPr>
          <w:lang w:val="en-GB" w:eastAsia="ja-JP"/>
        </w:rPr>
        <w:t xml:space="preserve">recovery procedure, the UE may be configured with </w:t>
      </w:r>
      <w:r w:rsidR="009D14C6">
        <w:rPr>
          <w:lang w:val="en-GB" w:eastAsia="ja-JP"/>
        </w:rPr>
        <w:t xml:space="preserve">a </w:t>
      </w:r>
      <w:r w:rsidR="009D14C6" w:rsidRPr="009D14C6">
        <w:rPr>
          <w:lang w:val="en-GB" w:eastAsia="ja-JP"/>
        </w:rPr>
        <w:t>set of periodic CSI-RS resource configuration indexes</w:t>
      </w:r>
      <w:r w:rsidR="009D14C6">
        <w:rPr>
          <w:lang w:val="en-GB" w:eastAsia="ja-JP"/>
        </w:rPr>
        <w:t>. If the UE is not configured with periodic CSI-RS resources</w:t>
      </w:r>
      <w:r w:rsidR="00CD1256">
        <w:rPr>
          <w:lang w:val="en-GB" w:eastAsia="ja-JP"/>
        </w:rPr>
        <w:t xml:space="preserve">, the </w:t>
      </w:r>
      <w:r w:rsidR="003C6386">
        <w:rPr>
          <w:lang w:val="en-GB" w:eastAsia="ja-JP"/>
        </w:rPr>
        <w:t xml:space="preserve">UE monitors the </w:t>
      </w:r>
      <w:r w:rsidR="00732028">
        <w:rPr>
          <w:lang w:val="en-GB" w:eastAsia="ja-JP"/>
        </w:rPr>
        <w:t xml:space="preserve">RSs </w:t>
      </w:r>
      <w:r w:rsidR="008B08B5">
        <w:rPr>
          <w:lang w:val="en-GB" w:eastAsia="ja-JP"/>
        </w:rPr>
        <w:t>in the TCI state for the respective CORESETs:</w:t>
      </w:r>
    </w:p>
    <w:p w14:paraId="14348442" w14:textId="38FE51CB" w:rsidR="00B260E7" w:rsidRDefault="00B260E7" w:rsidP="00B260E7">
      <w:pPr>
        <w:pBdr>
          <w:top w:val="single" w:sz="4" w:space="1" w:color="auto"/>
          <w:left w:val="single" w:sz="4" w:space="4" w:color="auto"/>
          <w:bottom w:val="single" w:sz="4" w:space="1" w:color="auto"/>
          <w:right w:val="single" w:sz="4" w:space="4" w:color="auto"/>
        </w:pBdr>
        <w:rPr>
          <w:rFonts w:ascii="Times New Roman" w:eastAsia="SimSun" w:hAnsi="Times New Roman" w:cs="Times New Roman"/>
          <w:szCs w:val="20"/>
          <w:lang w:val="en-GB"/>
        </w:rPr>
      </w:pPr>
      <w:r>
        <w:rPr>
          <w:rFonts w:ascii="Times New Roman" w:eastAsia="SimSun" w:hAnsi="Times New Roman" w:cs="Times New Roman"/>
          <w:szCs w:val="20"/>
          <w:lang w:val="en-GB"/>
        </w:rPr>
        <w:t>Excerpt from 38.213, clause 6:</w:t>
      </w:r>
    </w:p>
    <w:p w14:paraId="2E30BD4D" w14:textId="1C1B9042" w:rsidR="00B260E7" w:rsidRDefault="00B260E7" w:rsidP="00B260E7">
      <w:pPr>
        <w:pBdr>
          <w:top w:val="single" w:sz="4" w:space="1" w:color="auto"/>
          <w:left w:val="single" w:sz="4" w:space="4" w:color="auto"/>
          <w:bottom w:val="single" w:sz="4" w:space="1" w:color="auto"/>
          <w:right w:val="single" w:sz="4" w:space="4" w:color="auto"/>
        </w:pBdr>
        <w:rPr>
          <w:rFonts w:ascii="Times New Roman" w:eastAsia="SimSun" w:hAnsi="Times New Roman" w:cs="Times New Roman"/>
          <w:szCs w:val="20"/>
          <w:lang w:val="en-GB"/>
        </w:rPr>
      </w:pPr>
      <w:r w:rsidRPr="00B260E7">
        <w:rPr>
          <w:rFonts w:ascii="Times New Roman" w:eastAsia="SimSun" w:hAnsi="Times New Roman" w:cs="Times New Roman"/>
          <w:szCs w:val="20"/>
          <w:lang w:val="en-GB"/>
        </w:rPr>
        <w:t xml:space="preserve">If the UE is not provided </w:t>
      </w:r>
      <m:oMath>
        <m:sSub>
          <m:sSubPr>
            <m:ctrlPr>
              <w:rPr>
                <w:rFonts w:ascii="Cambria Math" w:eastAsia="SimSun" w:hAnsi="Cambria Math" w:cs="Times New Roman"/>
                <w:i/>
                <w:szCs w:val="20"/>
                <w:lang w:val="en-GB"/>
              </w:rPr>
            </m:ctrlPr>
          </m:sSub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q</m:t>
                </m:r>
              </m:e>
            </m:acc>
          </m:e>
          <m:sub>
            <m:r>
              <w:rPr>
                <w:rFonts w:ascii="Cambria Math" w:eastAsia="SimSun" w:hAnsi="Cambria Math" w:cs="Times New Roman"/>
                <w:szCs w:val="20"/>
                <w:lang w:val="en-GB"/>
              </w:rPr>
              <m:t>0</m:t>
            </m:r>
          </m:sub>
        </m:sSub>
      </m:oMath>
      <w:r w:rsidRPr="00B260E7">
        <w:rPr>
          <w:rFonts w:ascii="Times New Roman" w:eastAsia="SimSun" w:hAnsi="Times New Roman" w:cs="Times New Roman"/>
          <w:iCs/>
          <w:szCs w:val="20"/>
          <w:lang w:val="en-GB"/>
        </w:rPr>
        <w:t xml:space="preserve"> by</w:t>
      </w:r>
      <w:r w:rsidRPr="00B260E7">
        <w:rPr>
          <w:rFonts w:ascii="Times New Roman" w:eastAsia="SimSun" w:hAnsi="Times New Roman" w:cs="Times New Roman"/>
          <w:szCs w:val="20"/>
          <w:lang w:val="en-GB"/>
        </w:rPr>
        <w:t xml:space="preserve"> </w:t>
      </w:r>
      <w:proofErr w:type="spellStart"/>
      <w:r w:rsidRPr="00B260E7">
        <w:rPr>
          <w:rFonts w:ascii="Times New Roman" w:eastAsia="SimSun" w:hAnsi="Times New Roman" w:cs="Times New Roman"/>
          <w:i/>
          <w:szCs w:val="20"/>
          <w:lang w:val="en-GB"/>
        </w:rPr>
        <w:t>failureDetectionResources</w:t>
      </w:r>
      <w:r w:rsidRPr="00B260E7">
        <w:rPr>
          <w:rFonts w:ascii="Times New Roman" w:eastAsia="SimSun" w:hAnsi="Times New Roman" w:cs="Times New Roman" w:hint="eastAsia"/>
          <w:i/>
          <w:szCs w:val="20"/>
          <w:lang w:val="en-GB"/>
        </w:rPr>
        <w:t>ToAddModList</w:t>
      </w:r>
      <w:proofErr w:type="spellEnd"/>
      <w:r w:rsidRPr="00B260E7">
        <w:rPr>
          <w:rFonts w:ascii="Times New Roman" w:eastAsia="SimSun" w:hAnsi="Times New Roman" w:cs="Times New Roman"/>
          <w:szCs w:val="16"/>
          <w:lang w:val="en-GB"/>
        </w:rPr>
        <w:t xml:space="preserve"> for a BWP of the serving cell</w:t>
      </w:r>
      <w:r w:rsidRPr="00B260E7">
        <w:rPr>
          <w:rFonts w:ascii="Times New Roman" w:eastAsia="SimSun" w:hAnsi="Times New Roman" w:cs="Times New Roman"/>
          <w:iCs/>
          <w:szCs w:val="20"/>
          <w:lang w:val="en-GB"/>
        </w:rPr>
        <w:t xml:space="preserve">, the UE determines the set </w:t>
      </w:r>
      <m:oMath>
        <m:sSub>
          <m:sSubPr>
            <m:ctrlPr>
              <w:rPr>
                <w:rFonts w:ascii="Cambria Math" w:eastAsia="SimSun" w:hAnsi="Cambria Math" w:cs="Times New Roman"/>
                <w:i/>
                <w:szCs w:val="20"/>
                <w:lang w:val="en-GB"/>
              </w:rPr>
            </m:ctrlPr>
          </m:sSubPr>
          <m:e>
            <m:acc>
              <m:accPr>
                <m:chr m:val="̅"/>
                <m:ctrlPr>
                  <w:rPr>
                    <w:rFonts w:ascii="Cambria Math" w:eastAsia="SimSun" w:hAnsi="Cambria Math" w:cs="Times New Roman"/>
                    <w:i/>
                    <w:szCs w:val="20"/>
                    <w:lang w:val="en-GB"/>
                  </w:rPr>
                </m:ctrlPr>
              </m:accPr>
              <m:e>
                <m:r>
                  <w:rPr>
                    <w:rFonts w:ascii="Cambria Math" w:eastAsia="SimSun" w:hAnsi="Cambria Math" w:cs="Times New Roman"/>
                    <w:szCs w:val="20"/>
                    <w:lang w:val="en-GB"/>
                  </w:rPr>
                  <m:t>q</m:t>
                </m:r>
              </m:e>
            </m:acc>
          </m:e>
          <m:sub>
            <m:r>
              <w:rPr>
                <w:rFonts w:ascii="Cambria Math" w:eastAsia="SimSun" w:hAnsi="Cambria Math" w:cs="Times New Roman"/>
                <w:szCs w:val="20"/>
                <w:lang w:val="en-GB"/>
              </w:rPr>
              <m:t>0</m:t>
            </m:r>
          </m:sub>
        </m:sSub>
      </m:oMath>
      <w:r w:rsidRPr="00B260E7">
        <w:rPr>
          <w:rFonts w:ascii="Times New Roman" w:eastAsia="SimSun" w:hAnsi="Times New Roman" w:cs="Times New Roman"/>
          <w:iCs/>
          <w:szCs w:val="20"/>
          <w:lang w:val="en-GB"/>
        </w:rPr>
        <w:t xml:space="preserve"> to include periodic CSI-RS resource configuration indexes with same values as the RS indexes in the RS sets indicated by</w:t>
      </w:r>
      <w:r w:rsidRPr="00B260E7">
        <w:rPr>
          <w:rFonts w:ascii="Times New Roman" w:eastAsia="SimSun" w:hAnsi="Times New Roman" w:cs="Times New Roman"/>
          <w:szCs w:val="20"/>
          <w:lang w:val="en-GB"/>
        </w:rPr>
        <w:t xml:space="preserve"> </w:t>
      </w:r>
      <w:r w:rsidRPr="00B260E7">
        <w:rPr>
          <w:rFonts w:ascii="Times New Roman" w:eastAsia="SimSun" w:hAnsi="Times New Roman" w:cs="Times New Roman"/>
          <w:i/>
          <w:szCs w:val="20"/>
          <w:lang w:val="en-GB"/>
        </w:rPr>
        <w:t>TCI-State</w:t>
      </w:r>
      <w:r w:rsidRPr="00B260E7">
        <w:rPr>
          <w:rFonts w:ascii="Times New Roman" w:eastAsia="SimSun" w:hAnsi="Times New Roman" w:cs="Times New Roman"/>
          <w:szCs w:val="20"/>
          <w:lang w:val="en-GB"/>
        </w:rPr>
        <w:t xml:space="preserve"> for respective CORESETs that the UE uses for monitoring PDCCH.</w:t>
      </w:r>
    </w:p>
    <w:p w14:paraId="687A0712" w14:textId="1D435D04" w:rsidR="00233762" w:rsidRDefault="00F13EC0" w:rsidP="00B260E7">
      <w:pPr>
        <w:pBdr>
          <w:top w:val="single" w:sz="4" w:space="1" w:color="auto"/>
          <w:left w:val="single" w:sz="4" w:space="4" w:color="auto"/>
          <w:bottom w:val="single" w:sz="4" w:space="1" w:color="auto"/>
          <w:right w:val="single" w:sz="4" w:space="4" w:color="auto"/>
        </w:pBdr>
        <w:rPr>
          <w:lang w:val="en-GB" w:eastAsia="ja-JP"/>
        </w:rPr>
      </w:pPr>
      <w:r>
        <w:rPr>
          <w:rFonts w:ascii="Times New Roman" w:eastAsia="SimSun" w:hAnsi="Times New Roman" w:cs="Times New Roman"/>
          <w:szCs w:val="20"/>
          <w:lang w:val="en-GB"/>
        </w:rPr>
        <w:t>&lt;omitted&gt;</w:t>
      </w:r>
    </w:p>
    <w:p w14:paraId="5F9638E9" w14:textId="06BFED08" w:rsidR="008B08B5" w:rsidRDefault="00B260E7" w:rsidP="00E72333">
      <w:pPr>
        <w:rPr>
          <w:lang w:val="en-GB" w:eastAsia="ja-JP"/>
        </w:rPr>
      </w:pPr>
      <w:r>
        <w:rPr>
          <w:lang w:val="en-GB" w:eastAsia="ja-JP"/>
        </w:rPr>
        <w:t xml:space="preserve">Here we note that since </w:t>
      </w:r>
      <w:r w:rsidRPr="007B224E">
        <w:rPr>
          <w:i/>
          <w:iCs/>
          <w:lang w:val="en-GB" w:eastAsia="ja-JP"/>
        </w:rPr>
        <w:t>TCI-State</w:t>
      </w:r>
      <w:r>
        <w:rPr>
          <w:lang w:val="en-GB" w:eastAsia="ja-JP"/>
        </w:rPr>
        <w:t xml:space="preserve"> is written in italics, it refers to</w:t>
      </w:r>
      <w:r w:rsidR="007B224E">
        <w:rPr>
          <w:lang w:val="en-GB" w:eastAsia="ja-JP"/>
        </w:rPr>
        <w:t xml:space="preserve"> the RRC field with the same name. However, when the UE is configured </w:t>
      </w:r>
      <w:r w:rsidR="000768EF">
        <w:rPr>
          <w:lang w:val="en-GB" w:eastAsia="ja-JP"/>
        </w:rPr>
        <w:t>with the Rel-17 TCI framework</w:t>
      </w:r>
      <w:r w:rsidR="00EB7FF9">
        <w:rPr>
          <w:lang w:val="en-GB" w:eastAsia="ja-JP"/>
        </w:rPr>
        <w:t>, the UE does not derive any</w:t>
      </w:r>
      <w:r w:rsidR="002F09A3">
        <w:rPr>
          <w:lang w:val="en-GB" w:eastAsia="ja-JP"/>
        </w:rPr>
        <w:t xml:space="preserve"> QCL source </w:t>
      </w:r>
      <w:r w:rsidR="00EB7FF9">
        <w:rPr>
          <w:lang w:val="en-GB" w:eastAsia="ja-JP"/>
        </w:rPr>
        <w:t>from a Rel-15 TCI state</w:t>
      </w:r>
      <w:r w:rsidR="002F09A3">
        <w:rPr>
          <w:lang w:val="en-GB" w:eastAsia="ja-JP"/>
        </w:rPr>
        <w:t xml:space="preserve">: those are provided in a </w:t>
      </w:r>
      <w:proofErr w:type="spellStart"/>
      <w:r w:rsidR="001A28AF" w:rsidRPr="001A28AF">
        <w:rPr>
          <w:i/>
          <w:iCs/>
          <w:lang w:val="en-GB" w:eastAsia="ja-JP"/>
        </w:rPr>
        <w:t>DLorJointTCIState</w:t>
      </w:r>
      <w:proofErr w:type="spellEnd"/>
      <w:r w:rsidR="00286ED9">
        <w:rPr>
          <w:i/>
          <w:iCs/>
          <w:lang w:val="en-GB" w:eastAsia="ja-JP"/>
        </w:rPr>
        <w:t xml:space="preserve">. </w:t>
      </w:r>
      <w:r w:rsidR="00286ED9">
        <w:rPr>
          <w:lang w:val="en-GB" w:eastAsia="ja-JP"/>
        </w:rPr>
        <w:t>We propose to clarify th</w:t>
      </w:r>
      <w:r w:rsidR="0089028A">
        <w:rPr>
          <w:lang w:val="en-GB" w:eastAsia="ja-JP"/>
        </w:rPr>
        <w:t xml:space="preserve">is, simply by adding </w:t>
      </w:r>
      <w:r w:rsidR="00F13EC0">
        <w:rPr>
          <w:lang w:val="en-GB" w:eastAsia="ja-JP"/>
        </w:rPr>
        <w:t xml:space="preserve">‘or </w:t>
      </w:r>
      <w:proofErr w:type="spellStart"/>
      <w:r w:rsidR="00F13EC0" w:rsidRPr="001A28AF">
        <w:rPr>
          <w:i/>
          <w:iCs/>
          <w:lang w:val="en-GB" w:eastAsia="ja-JP"/>
        </w:rPr>
        <w:t>DLorJointTCIState</w:t>
      </w:r>
      <w:proofErr w:type="spellEnd"/>
      <w:r w:rsidR="00F13EC0">
        <w:rPr>
          <w:i/>
          <w:iCs/>
          <w:lang w:val="en-GB" w:eastAsia="ja-JP"/>
        </w:rPr>
        <w:t xml:space="preserve">’ </w:t>
      </w:r>
      <w:r w:rsidR="00F13EC0">
        <w:rPr>
          <w:lang w:val="en-GB" w:eastAsia="ja-JP"/>
        </w:rPr>
        <w:t>to the excerpt above:</w:t>
      </w:r>
    </w:p>
    <w:p w14:paraId="4889B1E6" w14:textId="23D81C7A" w:rsidR="00F13EC0" w:rsidRPr="000B62D4" w:rsidRDefault="009A61F4" w:rsidP="00E72333">
      <w:pPr>
        <w:pStyle w:val="Proposal"/>
        <w:rPr>
          <w:lang w:val="en-GB" w:eastAsia="ja-JP"/>
        </w:rPr>
      </w:pPr>
      <w:bookmarkStart w:id="5" w:name="_Toc101783067"/>
      <w:r>
        <w:rPr>
          <w:lang w:val="en-GB" w:eastAsia="ja-JP"/>
        </w:rPr>
        <w:t xml:space="preserve">Clarify that the UE may determine the set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q</m:t>
                </m:r>
              </m:e>
            </m:acc>
          </m:e>
          <m:sub>
            <m:r>
              <m:rPr>
                <m:sty m:val="bi"/>
              </m:rPr>
              <w:rPr>
                <w:rFonts w:ascii="Cambria Math" w:hAnsi="Cambria Math"/>
              </w:rPr>
              <m:t>0</m:t>
            </m:r>
          </m:sub>
        </m:sSub>
        <m:r>
          <m:rPr>
            <m:sty m:val="bi"/>
          </m:rPr>
          <w:rPr>
            <w:rFonts w:ascii="Cambria Math" w:hAnsi="Cambria Math"/>
          </w:rPr>
          <m:t xml:space="preserve"> </m:t>
        </m:r>
      </m:oMath>
      <w:r w:rsidR="00C64DA5">
        <w:t xml:space="preserve">from a </w:t>
      </w:r>
      <w:proofErr w:type="spellStart"/>
      <w:r w:rsidR="00C64DA5" w:rsidRPr="001A28AF">
        <w:rPr>
          <w:i/>
          <w:iCs/>
          <w:lang w:val="en-GB" w:eastAsia="ja-JP"/>
        </w:rPr>
        <w:t>DLorJointTCIState</w:t>
      </w:r>
      <w:proofErr w:type="spellEnd"/>
      <w:r w:rsidR="00C64DA5">
        <w:rPr>
          <w:i/>
          <w:iCs/>
          <w:lang w:val="en-GB" w:eastAsia="ja-JP"/>
        </w:rPr>
        <w:t xml:space="preserve"> </w:t>
      </w:r>
      <w:r w:rsidR="00C64DA5" w:rsidRPr="00C64DA5">
        <w:rPr>
          <w:lang w:val="en-GB" w:eastAsia="ja-JP"/>
        </w:rPr>
        <w:t>in addi</w:t>
      </w:r>
      <w:r w:rsidR="00C64DA5">
        <w:rPr>
          <w:lang w:val="en-GB" w:eastAsia="ja-JP"/>
        </w:rPr>
        <w:t>tion to a TCI-State</w:t>
      </w:r>
      <w:r w:rsidR="00C64DA5">
        <w:rPr>
          <w:i/>
          <w:iCs/>
          <w:lang w:val="en-GB" w:eastAsia="ja-JP"/>
        </w:rPr>
        <w:t>.</w:t>
      </w:r>
      <w:bookmarkEnd w:id="5"/>
    </w:p>
    <w:p w14:paraId="34C93DAD" w14:textId="75117807" w:rsidR="000B62D4" w:rsidRPr="00F13EC0" w:rsidRDefault="000B62D4" w:rsidP="000B62D4">
      <w:pPr>
        <w:rPr>
          <w:lang w:val="en-GB" w:eastAsia="ja-JP"/>
        </w:rPr>
      </w:pPr>
      <w:r>
        <w:rPr>
          <w:lang w:val="en-GB" w:eastAsia="ja-JP"/>
        </w:rPr>
        <w:t xml:space="preserve">We note that </w:t>
      </w:r>
      <w:r w:rsidR="00BE2C8F">
        <w:rPr>
          <w:lang w:val="en-GB" w:eastAsia="ja-JP"/>
        </w:rPr>
        <w:t xml:space="preserve">in </w:t>
      </w:r>
      <w:r>
        <w:rPr>
          <w:lang w:val="en-GB" w:eastAsia="ja-JP"/>
        </w:rPr>
        <w:t>the corresponding text for RLM</w:t>
      </w:r>
      <w:r w:rsidR="00BE2C8F">
        <w:rPr>
          <w:lang w:val="en-GB" w:eastAsia="ja-JP"/>
        </w:rPr>
        <w:t xml:space="preserve">, TCI state is not written in italics, and is thus </w:t>
      </w:r>
      <w:r w:rsidR="006E78EA">
        <w:rPr>
          <w:lang w:val="en-GB" w:eastAsia="ja-JP"/>
        </w:rPr>
        <w:t>not referring to an RRC field.</w:t>
      </w:r>
    </w:p>
    <w:p w14:paraId="07E6E454" w14:textId="71C02AFA" w:rsidR="005E5D3C" w:rsidRDefault="00CF7E7D" w:rsidP="005E5D3C">
      <w:pPr>
        <w:pStyle w:val="Heading2"/>
      </w:pPr>
      <w:r>
        <w:t>2.</w:t>
      </w:r>
      <w:r w:rsidR="00BE3764">
        <w:t>3</w:t>
      </w:r>
      <w:r>
        <w:tab/>
      </w:r>
      <w:r w:rsidR="005E5D3C" w:rsidRPr="005E5D3C">
        <w:t xml:space="preserve">Default beam and </w:t>
      </w:r>
      <w:proofErr w:type="spellStart"/>
      <w:r w:rsidR="005E5D3C" w:rsidRPr="005E5D3C">
        <w:t>timeDurationForQcl</w:t>
      </w:r>
      <w:proofErr w:type="spellEnd"/>
    </w:p>
    <w:p w14:paraId="025C0B83" w14:textId="77777777" w:rsidR="00DB319D" w:rsidRDefault="00E47156" w:rsidP="000367AA">
      <w:pPr>
        <w:rPr>
          <w:lang w:val="en-GB" w:eastAsia="ja-JP"/>
        </w:rPr>
      </w:pPr>
      <w:r>
        <w:rPr>
          <w:lang w:val="en-GB" w:eastAsia="ja-JP"/>
        </w:rPr>
        <w:t xml:space="preserve">In the Rel-15 TCI framework, the QCL assumption can be conveyed in DCI for PDSCH and aperiodic CSI-RS. For both PDSCH and aperiodic CSI-RS, the UE must have time to decode the DCI and apply the TCI state indicated in DCI. </w:t>
      </w:r>
      <w:r w:rsidR="00383623">
        <w:rPr>
          <w:lang w:val="en-GB" w:eastAsia="ja-JP"/>
        </w:rPr>
        <w:t xml:space="preserve">The </w:t>
      </w:r>
      <w:r w:rsidR="00867F74">
        <w:rPr>
          <w:lang w:val="en-GB" w:eastAsia="ja-JP"/>
        </w:rPr>
        <w:t xml:space="preserve">UE provides the required time using </w:t>
      </w:r>
      <w:r w:rsidR="00DB319D">
        <w:rPr>
          <w:lang w:val="en-GB" w:eastAsia="ja-JP"/>
        </w:rPr>
        <w:t xml:space="preserve">three UE features: </w:t>
      </w:r>
    </w:p>
    <w:p w14:paraId="7443DC9E" w14:textId="603B057A" w:rsidR="000367AA" w:rsidRPr="0010080F" w:rsidRDefault="00DB319D" w:rsidP="00EE211B">
      <w:pPr>
        <w:pStyle w:val="ListBullet"/>
        <w:rPr>
          <w:lang w:val="en-GB"/>
        </w:rPr>
      </w:pPr>
      <w:proofErr w:type="spellStart"/>
      <w:r w:rsidRPr="0010080F">
        <w:rPr>
          <w:lang w:val="en-GB"/>
        </w:rPr>
        <w:t>timeDurationForQcl</w:t>
      </w:r>
      <w:proofErr w:type="spellEnd"/>
      <w:r w:rsidRPr="0010080F">
        <w:rPr>
          <w:lang w:val="en-GB"/>
        </w:rPr>
        <w:t xml:space="preserve"> (PDSCH)</w:t>
      </w:r>
    </w:p>
    <w:p w14:paraId="534DF854" w14:textId="2341B2AE" w:rsidR="00DB319D" w:rsidRPr="0010080F" w:rsidRDefault="00DB319D" w:rsidP="00EE211B">
      <w:pPr>
        <w:pStyle w:val="ListBullet"/>
        <w:rPr>
          <w:lang w:val="en-GB"/>
        </w:rPr>
      </w:pPr>
      <w:proofErr w:type="spellStart"/>
      <w:r w:rsidRPr="0010080F">
        <w:rPr>
          <w:lang w:val="en-GB"/>
        </w:rPr>
        <w:t>beamSwitchTiming</w:t>
      </w:r>
      <w:proofErr w:type="spellEnd"/>
      <w:r w:rsidRPr="0010080F">
        <w:rPr>
          <w:lang w:val="en-GB"/>
        </w:rPr>
        <w:t xml:space="preserve"> (CSI-RS)</w:t>
      </w:r>
    </w:p>
    <w:p w14:paraId="2A7081C6" w14:textId="00D7CF52" w:rsidR="00DB319D" w:rsidRDefault="00DB319D" w:rsidP="00EE211B">
      <w:pPr>
        <w:pStyle w:val="ListBullet"/>
        <w:rPr>
          <w:lang w:val="en-GB"/>
        </w:rPr>
      </w:pPr>
      <w:r w:rsidRPr="0010080F">
        <w:rPr>
          <w:lang w:val="en-GB"/>
        </w:rPr>
        <w:t xml:space="preserve">beamSwitchTiming-r16 (CSI-RS </w:t>
      </w:r>
      <w:r w:rsidR="0010080F" w:rsidRPr="0010080F">
        <w:rPr>
          <w:lang w:val="en-GB"/>
        </w:rPr>
        <w:t>with changed behaviour</w:t>
      </w:r>
      <w:r w:rsidRPr="0010080F">
        <w:rPr>
          <w:lang w:val="en-GB"/>
        </w:rPr>
        <w:t>)</w:t>
      </w:r>
    </w:p>
    <w:p w14:paraId="1FC63855" w14:textId="1584B2EF" w:rsidR="0010080F" w:rsidRDefault="0010080F" w:rsidP="0010080F">
      <w:pPr>
        <w:rPr>
          <w:rFonts w:cs="Arial"/>
          <w:lang w:val="en-GB" w:eastAsia="ja-JP"/>
        </w:rPr>
      </w:pPr>
      <w:r>
        <w:rPr>
          <w:rFonts w:cs="Arial"/>
          <w:lang w:val="en-GB" w:eastAsia="ja-JP"/>
        </w:rPr>
        <w:t xml:space="preserve">38.214 specifies </w:t>
      </w:r>
      <w:r w:rsidR="00176EA8">
        <w:rPr>
          <w:rFonts w:cs="Arial"/>
          <w:lang w:val="en-GB" w:eastAsia="ja-JP"/>
        </w:rPr>
        <w:t xml:space="preserve">what QCL assumption the </w:t>
      </w:r>
      <w:r w:rsidR="00452EE6">
        <w:rPr>
          <w:rFonts w:cs="Arial"/>
          <w:lang w:val="en-GB" w:eastAsia="ja-JP"/>
        </w:rPr>
        <w:t xml:space="preserve">UE makes, depending on the </w:t>
      </w:r>
      <w:r w:rsidR="004C52B1">
        <w:rPr>
          <w:rFonts w:cs="Arial"/>
          <w:lang w:val="en-GB" w:eastAsia="ja-JP"/>
        </w:rPr>
        <w:t>time between the scheduling PDCCH and the PDSCH/CSI-RS.</w:t>
      </w:r>
      <w:r w:rsidR="00120EB7">
        <w:rPr>
          <w:rFonts w:cs="Arial"/>
          <w:lang w:val="en-GB" w:eastAsia="ja-JP"/>
        </w:rPr>
        <w:t xml:space="preserve"> When </w:t>
      </w:r>
      <w:r w:rsidR="005F23CD">
        <w:rPr>
          <w:rFonts w:cs="Arial"/>
          <w:lang w:val="en-GB" w:eastAsia="ja-JP"/>
        </w:rPr>
        <w:t xml:space="preserve">the time between the scheduling PDCCH and the scheduled </w:t>
      </w:r>
      <w:r w:rsidR="00120EB7">
        <w:rPr>
          <w:rFonts w:cs="Arial"/>
          <w:lang w:val="en-GB" w:eastAsia="ja-JP"/>
        </w:rPr>
        <w:t xml:space="preserve">PDSCH/CSI-RS is </w:t>
      </w:r>
      <w:r w:rsidR="005F23CD">
        <w:rPr>
          <w:rFonts w:cs="Arial"/>
          <w:lang w:val="en-GB" w:eastAsia="ja-JP"/>
        </w:rPr>
        <w:t xml:space="preserve">smaller than the advertised UE capability, the UE is said to apply a default QCL assumption. </w:t>
      </w:r>
    </w:p>
    <w:p w14:paraId="59010CB7" w14:textId="156CD509" w:rsidR="000A3861" w:rsidRDefault="000A3861" w:rsidP="0010080F">
      <w:pPr>
        <w:rPr>
          <w:rFonts w:cs="Arial"/>
          <w:lang w:val="en-GB" w:eastAsia="ja-JP"/>
        </w:rPr>
      </w:pPr>
      <w:r>
        <w:rPr>
          <w:rFonts w:cs="Arial"/>
          <w:lang w:val="en-GB" w:eastAsia="ja-JP"/>
        </w:rPr>
        <w:t xml:space="preserve">The main motivation for the Rel-17 TCI framework was to simplify the </w:t>
      </w:r>
      <w:proofErr w:type="spellStart"/>
      <w:r w:rsidR="00120EB7">
        <w:rPr>
          <w:rFonts w:cs="Arial"/>
          <w:lang w:val="en-GB" w:eastAsia="ja-JP"/>
        </w:rPr>
        <w:t>signaling</w:t>
      </w:r>
      <w:proofErr w:type="spellEnd"/>
      <w:r w:rsidR="00120EB7">
        <w:rPr>
          <w:rFonts w:cs="Arial"/>
          <w:lang w:val="en-GB" w:eastAsia="ja-JP"/>
        </w:rPr>
        <w:t xml:space="preserve"> of QCL assumptions. </w:t>
      </w:r>
      <w:r w:rsidR="00951371">
        <w:rPr>
          <w:rFonts w:cs="Arial"/>
          <w:lang w:val="en-GB" w:eastAsia="ja-JP"/>
        </w:rPr>
        <w:t>In the baseline case,</w:t>
      </w:r>
      <w:r w:rsidR="006D501E">
        <w:rPr>
          <w:rFonts w:cs="Arial"/>
          <w:lang w:val="en-GB" w:eastAsia="ja-JP"/>
        </w:rPr>
        <w:t xml:space="preserve"> one</w:t>
      </w:r>
      <w:r w:rsidR="00951371">
        <w:rPr>
          <w:rFonts w:cs="Arial"/>
          <w:lang w:val="en-GB" w:eastAsia="ja-JP"/>
        </w:rPr>
        <w:t xml:space="preserve"> </w:t>
      </w:r>
      <w:r w:rsidR="00D24BB6">
        <w:rPr>
          <w:rFonts w:cs="Arial"/>
          <w:lang w:val="en-GB" w:eastAsia="ja-JP"/>
        </w:rPr>
        <w:t xml:space="preserve">indicated </w:t>
      </w:r>
      <w:r w:rsidR="006D501E">
        <w:rPr>
          <w:rFonts w:cs="Arial"/>
          <w:lang w:val="en-GB" w:eastAsia="ja-JP"/>
        </w:rPr>
        <w:t xml:space="preserve">TCI state is used to control the reception/transmission of all signals. This </w:t>
      </w:r>
      <w:r w:rsidR="00D24BB6">
        <w:rPr>
          <w:rFonts w:cs="Arial"/>
          <w:lang w:val="en-GB" w:eastAsia="ja-JP"/>
        </w:rPr>
        <w:t xml:space="preserve">single </w:t>
      </w:r>
      <w:r w:rsidR="006D501E">
        <w:rPr>
          <w:rFonts w:cs="Arial"/>
          <w:lang w:val="en-GB" w:eastAsia="ja-JP"/>
        </w:rPr>
        <w:t xml:space="preserve">TCI state is then changed </w:t>
      </w:r>
      <w:r w:rsidR="00D3068C">
        <w:rPr>
          <w:rFonts w:cs="Arial"/>
          <w:lang w:val="en-GB" w:eastAsia="ja-JP"/>
        </w:rPr>
        <w:t>using a combination of MAC CE and DCI.</w:t>
      </w:r>
      <w:r w:rsidR="00D24BB6">
        <w:rPr>
          <w:rFonts w:cs="Arial"/>
          <w:lang w:val="en-GB" w:eastAsia="ja-JP"/>
        </w:rPr>
        <w:t xml:space="preserve"> </w:t>
      </w:r>
      <w:r w:rsidR="00632B07">
        <w:rPr>
          <w:rFonts w:cs="Arial"/>
          <w:lang w:val="en-GB" w:eastAsia="ja-JP"/>
        </w:rPr>
        <w:t>A new UE capability has been introduced to describe how fast</w:t>
      </w:r>
      <w:r w:rsidR="00423241">
        <w:rPr>
          <w:rFonts w:cs="Arial"/>
          <w:lang w:val="en-GB" w:eastAsia="ja-JP"/>
        </w:rPr>
        <w:t xml:space="preserve"> a new TCI can be indicated.</w:t>
      </w:r>
      <w:r w:rsidR="00632B07">
        <w:rPr>
          <w:rFonts w:cs="Arial"/>
          <w:lang w:val="en-GB" w:eastAsia="ja-JP"/>
        </w:rPr>
        <w:t xml:space="preserve"> </w:t>
      </w:r>
      <w:r w:rsidR="00D24BB6">
        <w:rPr>
          <w:rFonts w:cs="Arial"/>
          <w:lang w:val="en-GB" w:eastAsia="ja-JP"/>
        </w:rPr>
        <w:t>The indicated TCI state is applicable to PDSCH and aperiodic CSI-RS</w:t>
      </w:r>
      <w:r w:rsidR="007D28E8">
        <w:rPr>
          <w:rFonts w:cs="Arial"/>
          <w:lang w:val="en-GB" w:eastAsia="ja-JP"/>
        </w:rPr>
        <w:t>.</w:t>
      </w:r>
    </w:p>
    <w:p w14:paraId="756AC58A" w14:textId="3A570768" w:rsidR="00C553F0" w:rsidRDefault="005139E1" w:rsidP="0010080F">
      <w:pPr>
        <w:rPr>
          <w:rFonts w:cs="Arial"/>
          <w:lang w:val="en-GB" w:eastAsia="ja-JP"/>
        </w:rPr>
      </w:pPr>
      <w:r>
        <w:rPr>
          <w:rFonts w:cs="Arial"/>
          <w:lang w:val="en-GB" w:eastAsia="ja-JP"/>
        </w:rPr>
        <w:t xml:space="preserve">So far, the specification does not treat the </w:t>
      </w:r>
      <w:r w:rsidR="00423241">
        <w:rPr>
          <w:rFonts w:cs="Arial"/>
          <w:lang w:val="en-GB" w:eastAsia="ja-JP"/>
        </w:rPr>
        <w:t xml:space="preserve">Rel-17 TCI </w:t>
      </w:r>
      <w:r w:rsidR="005E42B9">
        <w:rPr>
          <w:rFonts w:cs="Arial"/>
          <w:lang w:val="en-GB" w:eastAsia="ja-JP"/>
        </w:rPr>
        <w:t xml:space="preserve">any differently with respect to the default QCL assumption. However, keeping the notion of a default TCI state </w:t>
      </w:r>
      <w:r w:rsidR="002D0DC5">
        <w:rPr>
          <w:rFonts w:cs="Arial"/>
          <w:lang w:val="en-GB" w:eastAsia="ja-JP"/>
        </w:rPr>
        <w:t xml:space="preserve">that is applicable under some circumstances </w:t>
      </w:r>
      <w:r w:rsidR="00467D2E">
        <w:rPr>
          <w:rFonts w:cs="Arial"/>
          <w:lang w:val="en-GB" w:eastAsia="ja-JP"/>
        </w:rPr>
        <w:t>is not consistent with the foundation of the Rel-17 TCI framew</w:t>
      </w:r>
      <w:r w:rsidR="00C553F0">
        <w:rPr>
          <w:rFonts w:cs="Arial"/>
          <w:lang w:val="en-GB" w:eastAsia="ja-JP"/>
        </w:rPr>
        <w:t xml:space="preserve">ork. </w:t>
      </w:r>
      <w:r w:rsidR="000B3884">
        <w:rPr>
          <w:rFonts w:cs="Arial"/>
          <w:lang w:val="en-GB" w:eastAsia="ja-JP"/>
        </w:rPr>
        <w:t xml:space="preserve">In other words, the </w:t>
      </w:r>
      <w:r w:rsidR="000B3884">
        <w:t xml:space="preserve">currently specified </w:t>
      </w:r>
      <w:r w:rsidR="000B3884">
        <w:lastRenderedPageBreak/>
        <w:t xml:space="preserve">behavior in 38.214 with regards to </w:t>
      </w:r>
      <w:proofErr w:type="spellStart"/>
      <w:r w:rsidR="000B3884" w:rsidRPr="000B3884">
        <w:rPr>
          <w:i/>
          <w:iCs/>
        </w:rPr>
        <w:t>timeDurationForQCL</w:t>
      </w:r>
      <w:proofErr w:type="spellEnd"/>
      <w:r w:rsidR="000B3884">
        <w:t xml:space="preserve"> is not relevant when Rel-17 TCI states are configured.</w:t>
      </w:r>
      <w:r w:rsidR="000B3884">
        <w:rPr>
          <w:rFonts w:cs="Arial"/>
          <w:lang w:val="en-GB" w:eastAsia="ja-JP"/>
        </w:rPr>
        <w:t xml:space="preserve"> W</w:t>
      </w:r>
      <w:r w:rsidR="00C553F0">
        <w:rPr>
          <w:rFonts w:cs="Arial"/>
          <w:lang w:val="en-GB" w:eastAsia="ja-JP"/>
        </w:rPr>
        <w:t>e propose to clarify this:</w:t>
      </w:r>
    </w:p>
    <w:p w14:paraId="5EC9687C" w14:textId="676FA0D1" w:rsidR="00C553F0" w:rsidRDefault="00162B05" w:rsidP="00C553F0">
      <w:pPr>
        <w:pStyle w:val="Proposal"/>
        <w:rPr>
          <w:lang w:val="en-GB" w:eastAsia="ja-JP"/>
        </w:rPr>
      </w:pPr>
      <w:bookmarkStart w:id="6" w:name="_Toc101783068"/>
      <w:r>
        <w:rPr>
          <w:lang w:val="en-GB" w:eastAsia="ja-JP"/>
        </w:rPr>
        <w:t>If configured to do so, t</w:t>
      </w:r>
      <w:r w:rsidR="00C553F0">
        <w:rPr>
          <w:lang w:val="en-GB" w:eastAsia="ja-JP"/>
        </w:rPr>
        <w:t xml:space="preserve">he UE </w:t>
      </w:r>
      <w:r>
        <w:rPr>
          <w:lang w:val="en-GB" w:eastAsia="ja-JP"/>
        </w:rPr>
        <w:t xml:space="preserve">always applies the </w:t>
      </w:r>
      <w:r w:rsidR="000B3884">
        <w:rPr>
          <w:lang w:val="en-GB" w:eastAsia="ja-JP"/>
        </w:rPr>
        <w:t xml:space="preserve">currently </w:t>
      </w:r>
      <w:r>
        <w:rPr>
          <w:lang w:val="en-GB" w:eastAsia="ja-JP"/>
        </w:rPr>
        <w:t>indicated TCI state to PDSCH and aperiodic CSI-RS.</w:t>
      </w:r>
      <w:bookmarkEnd w:id="6"/>
    </w:p>
    <w:p w14:paraId="7B680459" w14:textId="497E6AD5" w:rsidR="005E5D3C" w:rsidRDefault="00CF7E7D" w:rsidP="005E5D3C">
      <w:pPr>
        <w:pStyle w:val="Heading2"/>
      </w:pPr>
      <w:r>
        <w:t>2.</w:t>
      </w:r>
      <w:r w:rsidR="00BE3764">
        <w:t>4</w:t>
      </w:r>
      <w:r>
        <w:tab/>
      </w:r>
      <w:r w:rsidR="005E5D3C" w:rsidRPr="005E5D3C">
        <w:t>Virtual PHR</w:t>
      </w:r>
    </w:p>
    <w:p w14:paraId="4BC89950" w14:textId="7AC918F1" w:rsidR="00042349" w:rsidRDefault="00042349" w:rsidP="00042349">
      <w:pPr>
        <w:rPr>
          <w:lang w:val="en-GB" w:eastAsia="ja-JP"/>
        </w:rPr>
      </w:pPr>
      <w:r>
        <w:rPr>
          <w:lang w:val="en-GB" w:eastAsia="ja-JP"/>
        </w:rPr>
        <w:t xml:space="preserve">The UE may </w:t>
      </w:r>
      <w:r w:rsidR="00B14877">
        <w:rPr>
          <w:lang w:val="en-GB" w:eastAsia="ja-JP"/>
        </w:rPr>
        <w:t xml:space="preserve">determine that a Type 1 power headroom report for an activated serving cell is based on a </w:t>
      </w:r>
      <w:r w:rsidR="003D3843">
        <w:rPr>
          <w:lang w:val="en-GB" w:eastAsia="ja-JP"/>
        </w:rPr>
        <w:t>reference PUSCH transmission. Current</w:t>
      </w:r>
      <w:r w:rsidR="00A33204">
        <w:rPr>
          <w:lang w:val="en-GB" w:eastAsia="ja-JP"/>
        </w:rPr>
        <w:t xml:space="preserve">ly, 38.213 describes that the UE shall </w:t>
      </w:r>
      <w:r w:rsidR="00D5346B">
        <w:rPr>
          <w:lang w:val="en-GB" w:eastAsia="ja-JP"/>
        </w:rPr>
        <w:t xml:space="preserve">obtain the pathloss estimate using the </w:t>
      </w:r>
      <w:r w:rsidR="001C46AB">
        <w:rPr>
          <w:lang w:val="en-GB" w:eastAsia="ja-JP"/>
        </w:rPr>
        <w:t xml:space="preserve">reference signal indicated by </w:t>
      </w:r>
      <w:proofErr w:type="spellStart"/>
      <w:r w:rsidR="00CF08D9" w:rsidRPr="00F415B1">
        <w:rPr>
          <w:i/>
        </w:rPr>
        <w:t>pusch</w:t>
      </w:r>
      <w:proofErr w:type="spellEnd"/>
      <w:r w:rsidR="00CF08D9" w:rsidRPr="00F415B1">
        <w:rPr>
          <w:i/>
        </w:rPr>
        <w:t>-</w:t>
      </w:r>
      <w:proofErr w:type="spellStart"/>
      <w:r w:rsidR="00CF08D9" w:rsidRPr="00F415B1">
        <w:rPr>
          <w:i/>
        </w:rPr>
        <w:t>PathlossReferenceRS</w:t>
      </w:r>
      <w:proofErr w:type="spellEnd"/>
      <w:r w:rsidR="00CF08D9" w:rsidRPr="00F415B1">
        <w:rPr>
          <w:i/>
        </w:rPr>
        <w:t xml:space="preserve">-Id = </w:t>
      </w:r>
      <w:r w:rsidR="00CF08D9" w:rsidRPr="00F415B1">
        <w:t>0</w:t>
      </w:r>
      <w:r w:rsidR="00CF08D9">
        <w:rPr>
          <w:lang w:val="en-GB" w:eastAsia="ja-JP"/>
        </w:rPr>
        <w:t>. However, with unified TCI, this parameter may not even be provided, since the</w:t>
      </w:r>
      <w:r w:rsidR="00D9015A">
        <w:rPr>
          <w:lang w:val="en-GB" w:eastAsia="ja-JP"/>
        </w:rPr>
        <w:t xml:space="preserve"> PUSCH pathloss RS is associated with a TCI state, and not provided as a separate quantity.</w:t>
      </w:r>
      <w:r w:rsidR="00B57AC5">
        <w:rPr>
          <w:lang w:val="en-GB" w:eastAsia="ja-JP"/>
        </w:rPr>
        <w:t xml:space="preserve"> Here it makes a lot of sense to </w:t>
      </w:r>
      <w:r w:rsidR="006628B0">
        <w:rPr>
          <w:lang w:val="en-GB" w:eastAsia="ja-JP"/>
        </w:rPr>
        <w:t>use the pathloss RS if the activated TCI state:</w:t>
      </w:r>
    </w:p>
    <w:p w14:paraId="0FCEDBC0" w14:textId="59F08A08" w:rsidR="006628B0" w:rsidRPr="00CC19D2" w:rsidRDefault="006628B0" w:rsidP="00042349">
      <w:pPr>
        <w:pStyle w:val="Proposal"/>
        <w:rPr>
          <w:lang w:val="en-GB" w:eastAsia="ja-JP"/>
        </w:rPr>
      </w:pPr>
      <w:bookmarkStart w:id="7" w:name="_Toc101783069"/>
      <w:r>
        <w:rPr>
          <w:lang w:val="en-GB" w:eastAsia="ja-JP"/>
        </w:rPr>
        <w:t xml:space="preserve">To calculate the </w:t>
      </w:r>
      <w:r w:rsidR="00215B5C">
        <w:rPr>
          <w:lang w:val="en-GB" w:eastAsia="ja-JP"/>
        </w:rPr>
        <w:t>Type 1 power headroom based on a reference PUSCH, the UE uses the pathloss reference signal associated with the activated TCI state</w:t>
      </w:r>
      <w:r>
        <w:rPr>
          <w:lang w:val="en-GB" w:eastAsia="ja-JP"/>
        </w:rPr>
        <w:t>.</w:t>
      </w:r>
      <w:bookmarkEnd w:id="7"/>
    </w:p>
    <w:p w14:paraId="64B35241" w14:textId="7940CBF6" w:rsidR="00B14877" w:rsidRPr="00042349" w:rsidRDefault="00215B5C" w:rsidP="00042349">
      <w:pPr>
        <w:rPr>
          <w:lang w:val="en-GB" w:eastAsia="ja-JP"/>
        </w:rPr>
      </w:pPr>
      <w:r>
        <w:t xml:space="preserve">In general, Rel-17 </w:t>
      </w:r>
      <w:r w:rsidR="00224DA3">
        <w:t xml:space="preserve">specifies </w:t>
      </w:r>
      <w:r>
        <w:t xml:space="preserve">a new way to </w:t>
      </w:r>
      <w:r w:rsidR="00224DA3">
        <w:t>provide power control parameters, including the pathloss RS, to the UE, and it is not clear to us if this is captured in the current version of 38.213.</w:t>
      </w:r>
    </w:p>
    <w:p w14:paraId="45C858E7" w14:textId="594BDB3F" w:rsidR="00CF7E7D" w:rsidRDefault="00680A70" w:rsidP="00CF7E7D">
      <w:pPr>
        <w:pStyle w:val="Heading2"/>
      </w:pPr>
      <w:r>
        <w:t>2.</w:t>
      </w:r>
      <w:r w:rsidR="00BE3764">
        <w:t>5</w:t>
      </w:r>
      <w:r>
        <w:tab/>
      </w:r>
      <w:r w:rsidR="00CF7E7D" w:rsidRPr="009E1D41">
        <w:t>Rate matching for other PCI</w:t>
      </w:r>
    </w:p>
    <w:p w14:paraId="16AE4E2E" w14:textId="55AF72DF" w:rsidR="009E1D41" w:rsidRPr="009E1D41" w:rsidRDefault="009E1D41" w:rsidP="009E1D41">
      <w:pPr>
        <w:rPr>
          <w:lang w:val="en-GB" w:eastAsia="ja-JP"/>
        </w:rPr>
      </w:pPr>
      <w:r>
        <w:rPr>
          <w:lang w:val="en-GB" w:eastAsia="ja-JP"/>
        </w:rPr>
        <w:t>The UE assumes that PRBs where the SS/PBCH block is transmitted are not available for PDSCH:</w:t>
      </w:r>
    </w:p>
    <w:p w14:paraId="7AB77568" w14:textId="30C6BE9B" w:rsidR="00861C81" w:rsidRDefault="00861C81" w:rsidP="00861C81">
      <w:pPr>
        <w:pBdr>
          <w:top w:val="single" w:sz="4" w:space="1" w:color="auto"/>
          <w:left w:val="single" w:sz="4" w:space="4" w:color="auto"/>
          <w:bottom w:val="single" w:sz="4" w:space="1" w:color="auto"/>
          <w:right w:val="single" w:sz="4" w:space="4" w:color="auto"/>
        </w:pBdr>
        <w:spacing w:after="180" w:line="240" w:lineRule="auto"/>
        <w:rPr>
          <w:rFonts w:ascii="Times New Roman" w:eastAsia="SimSun" w:hAnsi="Times New Roman" w:cs="Times New Roman"/>
          <w:kern w:val="2"/>
          <w:szCs w:val="20"/>
          <w:lang w:val="en-GB" w:eastAsia="zh-CN"/>
        </w:rPr>
      </w:pPr>
      <w:r>
        <w:rPr>
          <w:rFonts w:ascii="Times New Roman" w:eastAsia="SimSun" w:hAnsi="Times New Roman" w:cs="Times New Roman"/>
          <w:kern w:val="2"/>
          <w:szCs w:val="20"/>
          <w:lang w:val="en-GB" w:eastAsia="zh-CN"/>
        </w:rPr>
        <w:t>Exce</w:t>
      </w:r>
      <w:r w:rsidR="002F2532">
        <w:rPr>
          <w:rFonts w:ascii="Times New Roman" w:eastAsia="SimSun" w:hAnsi="Times New Roman" w:cs="Times New Roman"/>
          <w:kern w:val="2"/>
          <w:szCs w:val="20"/>
          <w:lang w:val="en-GB" w:eastAsia="zh-CN"/>
        </w:rPr>
        <w:t>rpt from 38.214:</w:t>
      </w:r>
    </w:p>
    <w:p w14:paraId="5BF0AFF5" w14:textId="17A04659" w:rsidR="00861C81" w:rsidRPr="00861C81" w:rsidRDefault="00861C81" w:rsidP="00861C81">
      <w:pPr>
        <w:pBdr>
          <w:top w:val="single" w:sz="4" w:space="1" w:color="auto"/>
          <w:left w:val="single" w:sz="4" w:space="4" w:color="auto"/>
          <w:bottom w:val="single" w:sz="4" w:space="1" w:color="auto"/>
          <w:right w:val="single" w:sz="4" w:space="4" w:color="auto"/>
        </w:pBdr>
        <w:spacing w:after="180" w:line="240" w:lineRule="auto"/>
        <w:rPr>
          <w:rFonts w:ascii="Times New Roman" w:eastAsia="SimSun" w:hAnsi="Times New Roman" w:cs="Times New Roman"/>
          <w:kern w:val="2"/>
          <w:szCs w:val="20"/>
          <w:lang w:val="en-GB" w:eastAsia="zh-CN"/>
        </w:rPr>
      </w:pPr>
      <w:r w:rsidRPr="00861C81">
        <w:rPr>
          <w:rFonts w:ascii="Times New Roman" w:eastAsia="SimSun" w:hAnsi="Times New Roman" w:cs="Times New Roman"/>
          <w:kern w:val="2"/>
          <w:szCs w:val="20"/>
          <w:lang w:val="en-GB" w:eastAsia="zh-CN"/>
        </w:rPr>
        <w:t xml:space="preserve">When receiving the PDSCH </w:t>
      </w:r>
      <w:r w:rsidRPr="00861C81">
        <w:rPr>
          <w:rFonts w:ascii="Times New Roman" w:eastAsia="SimSun" w:hAnsi="Times New Roman" w:cs="Times New Roman"/>
          <w:color w:val="000000"/>
          <w:kern w:val="2"/>
          <w:szCs w:val="20"/>
          <w:lang w:val="en-GB" w:eastAsia="zh-CN"/>
        </w:rPr>
        <w:t xml:space="preserve">scheduled with SI-RNTI and the system information indicator in DCI is set to 1, RA-RNTI, </w:t>
      </w:r>
      <w:r w:rsidRPr="00861C81">
        <w:rPr>
          <w:rFonts w:ascii="Times New Roman" w:eastAsia="SimSun" w:hAnsi="Times New Roman" w:cs="Times New Roman"/>
          <w:color w:val="000000"/>
          <w:szCs w:val="20"/>
          <w:lang w:val="en-GB"/>
        </w:rPr>
        <w:t>MSGB-RNTI</w:t>
      </w:r>
      <w:r w:rsidRPr="00861C81">
        <w:rPr>
          <w:rFonts w:ascii="Times New Roman" w:eastAsia="SimSun" w:hAnsi="Times New Roman" w:cs="Times New Roman"/>
          <w:sz w:val="16"/>
          <w:szCs w:val="16"/>
          <w:lang w:val="en-GB"/>
        </w:rPr>
        <w:t xml:space="preserve">, </w:t>
      </w:r>
      <w:r w:rsidRPr="00861C81">
        <w:rPr>
          <w:rFonts w:ascii="Times New Roman" w:eastAsia="SimSun" w:hAnsi="Times New Roman" w:cs="Times New Roman"/>
          <w:color w:val="000000"/>
          <w:kern w:val="2"/>
          <w:szCs w:val="20"/>
          <w:lang w:val="en-GB" w:eastAsia="zh-CN"/>
        </w:rPr>
        <w:t>P-RNTI or TC-RNTI</w:t>
      </w:r>
      <w:r w:rsidRPr="00861C81">
        <w:rPr>
          <w:rFonts w:ascii="Times New Roman" w:eastAsia="SimSun" w:hAnsi="Times New Roman" w:cs="Times New Roman"/>
          <w:kern w:val="2"/>
          <w:szCs w:val="20"/>
          <w:lang w:val="en-GB" w:eastAsia="zh-CN"/>
        </w:rPr>
        <w:t xml:space="preserve">, the UE assumes SS/PBCH block transmission according to </w:t>
      </w:r>
      <w:proofErr w:type="spellStart"/>
      <w:r w:rsidRPr="00861C81">
        <w:rPr>
          <w:rFonts w:ascii="Times New Roman" w:eastAsia="SimSun" w:hAnsi="Times New Roman" w:cs="Times New Roman"/>
          <w:i/>
          <w:color w:val="000000"/>
          <w:kern w:val="2"/>
          <w:szCs w:val="20"/>
          <w:lang w:val="en-GB" w:eastAsia="zh-CN"/>
        </w:rPr>
        <w:t>ssb-PositionsInBurst</w:t>
      </w:r>
      <w:proofErr w:type="spellEnd"/>
      <w:r w:rsidRPr="00861C81">
        <w:rPr>
          <w:rFonts w:ascii="Times New Roman" w:eastAsia="SimSun" w:hAnsi="Times New Roman" w:cs="Times New Roman"/>
          <w:kern w:val="2"/>
          <w:szCs w:val="20"/>
          <w:lang w:val="en-GB" w:eastAsia="zh-CN"/>
        </w:rPr>
        <w:t xml:space="preserve">, and if the PDSCH resource allocation overlaps with PRBs containing SS/PBCH block transmission resources the UE shall assume that </w:t>
      </w:r>
      <w:r w:rsidRPr="00861C81">
        <w:rPr>
          <w:rFonts w:ascii="Times New Roman" w:eastAsia="SimSun" w:hAnsi="Times New Roman" w:cs="Times New Roman"/>
          <w:color w:val="000000"/>
          <w:kern w:val="2"/>
          <w:szCs w:val="20"/>
          <w:lang w:val="en-GB" w:eastAsia="zh-CN"/>
        </w:rPr>
        <w:t>the PRBs containing SS/PBCH block transmission resources are not available for PDSCH</w:t>
      </w:r>
      <w:r w:rsidRPr="00861C81">
        <w:rPr>
          <w:rFonts w:ascii="Times New Roman" w:eastAsia="SimSun" w:hAnsi="Times New Roman" w:cs="Times New Roman"/>
          <w:kern w:val="2"/>
          <w:szCs w:val="20"/>
          <w:lang w:val="en-GB" w:eastAsia="zh-CN"/>
        </w:rPr>
        <w:t xml:space="preserve"> in the OFDM symbols where SS/PBCH block is transmitted.</w:t>
      </w:r>
    </w:p>
    <w:p w14:paraId="3B945D34" w14:textId="3F51AB5D" w:rsidR="00CF7E7D" w:rsidRDefault="002F2532" w:rsidP="002F2532">
      <w:pPr>
        <w:rPr>
          <w:lang w:val="en-GB" w:eastAsia="ja-JP"/>
        </w:rPr>
      </w:pPr>
      <w:r>
        <w:rPr>
          <w:lang w:val="en-GB" w:eastAsia="ja-JP"/>
        </w:rPr>
        <w:t xml:space="preserve">Fundamentally, </w:t>
      </w:r>
      <w:r w:rsidR="00DA597D">
        <w:rPr>
          <w:lang w:val="en-GB" w:eastAsia="ja-JP"/>
        </w:rPr>
        <w:t xml:space="preserve">the SSB transmission pattern </w:t>
      </w:r>
      <w:r w:rsidR="00B26DDB">
        <w:rPr>
          <w:lang w:val="en-GB" w:eastAsia="ja-JP"/>
        </w:rPr>
        <w:t>(</w:t>
      </w:r>
      <w:proofErr w:type="spellStart"/>
      <w:r w:rsidR="00B26DDB" w:rsidRPr="00861C81">
        <w:rPr>
          <w:rFonts w:ascii="Times New Roman" w:eastAsia="SimSun" w:hAnsi="Times New Roman" w:cs="Times New Roman"/>
          <w:i/>
          <w:color w:val="000000"/>
          <w:kern w:val="2"/>
          <w:szCs w:val="20"/>
          <w:lang w:val="en-GB" w:eastAsia="zh-CN"/>
        </w:rPr>
        <w:t>ssb-PositionsInBurst</w:t>
      </w:r>
      <w:proofErr w:type="spellEnd"/>
      <w:r w:rsidR="00B26DDB">
        <w:rPr>
          <w:lang w:val="en-GB" w:eastAsia="ja-JP"/>
        </w:rPr>
        <w:t xml:space="preserve">) </w:t>
      </w:r>
      <w:r w:rsidR="00DA597D">
        <w:rPr>
          <w:lang w:val="en-GB" w:eastAsia="ja-JP"/>
        </w:rPr>
        <w:t xml:space="preserve">in different cells may differ. </w:t>
      </w:r>
      <w:r w:rsidR="00E14721">
        <w:rPr>
          <w:lang w:val="en-GB" w:eastAsia="ja-JP"/>
        </w:rPr>
        <w:t xml:space="preserve">With the unified TCI state framework, the </w:t>
      </w:r>
      <w:r>
        <w:rPr>
          <w:lang w:val="en-GB" w:eastAsia="ja-JP"/>
        </w:rPr>
        <w:t xml:space="preserve">UE </w:t>
      </w:r>
      <w:r w:rsidR="00E14721">
        <w:rPr>
          <w:lang w:val="en-GB" w:eastAsia="ja-JP"/>
        </w:rPr>
        <w:t xml:space="preserve">may receive </w:t>
      </w:r>
      <w:r>
        <w:rPr>
          <w:lang w:val="en-GB" w:eastAsia="ja-JP"/>
        </w:rPr>
        <w:t xml:space="preserve">data from a cell with another </w:t>
      </w:r>
      <w:r w:rsidR="007B5FE3">
        <w:rPr>
          <w:lang w:val="en-GB" w:eastAsia="ja-JP"/>
        </w:rPr>
        <w:t xml:space="preserve">PCI than that of the serving cell, </w:t>
      </w:r>
      <w:r w:rsidR="00E14721">
        <w:rPr>
          <w:lang w:val="en-GB" w:eastAsia="ja-JP"/>
        </w:rPr>
        <w:t xml:space="preserve">and the SSB transmission pattern </w:t>
      </w:r>
      <w:r w:rsidR="00B26DDB">
        <w:rPr>
          <w:lang w:val="en-GB" w:eastAsia="ja-JP"/>
        </w:rPr>
        <w:t>in th</w:t>
      </w:r>
      <w:r w:rsidR="00B169E0">
        <w:rPr>
          <w:lang w:val="en-GB" w:eastAsia="ja-JP"/>
        </w:rPr>
        <w:t>at</w:t>
      </w:r>
      <w:r w:rsidR="00B26DDB">
        <w:rPr>
          <w:lang w:val="en-GB" w:eastAsia="ja-JP"/>
        </w:rPr>
        <w:t xml:space="preserve"> cell </w:t>
      </w:r>
      <w:r w:rsidR="00E14721">
        <w:rPr>
          <w:lang w:val="en-GB" w:eastAsia="ja-JP"/>
        </w:rPr>
        <w:t xml:space="preserve">may be different </w:t>
      </w:r>
      <w:r w:rsidR="00B26DDB">
        <w:rPr>
          <w:lang w:val="en-GB" w:eastAsia="ja-JP"/>
        </w:rPr>
        <w:t xml:space="preserve">from the SSB transmission pattern of the serving cell. </w:t>
      </w:r>
      <w:proofErr w:type="gramStart"/>
      <w:r w:rsidR="00B26DDB">
        <w:rPr>
          <w:lang w:val="en-GB" w:eastAsia="ja-JP"/>
        </w:rPr>
        <w:t xml:space="preserve">Needless to say, </w:t>
      </w:r>
      <w:r w:rsidR="00BC1D78">
        <w:rPr>
          <w:lang w:val="en-GB" w:eastAsia="ja-JP"/>
        </w:rPr>
        <w:t>one</w:t>
      </w:r>
      <w:proofErr w:type="gramEnd"/>
      <w:r w:rsidR="00BC1D78">
        <w:rPr>
          <w:lang w:val="en-GB" w:eastAsia="ja-JP"/>
        </w:rPr>
        <w:t xml:space="preserve"> TRP will not transmit SSB and PDSCH in the same REs</w:t>
      </w:r>
      <w:r w:rsidR="003A4927">
        <w:rPr>
          <w:lang w:val="en-GB" w:eastAsia="ja-JP"/>
        </w:rPr>
        <w:t xml:space="preserve">, and the UE should take that </w:t>
      </w:r>
      <w:r w:rsidR="004047E9">
        <w:rPr>
          <w:lang w:val="en-GB" w:eastAsia="ja-JP"/>
        </w:rPr>
        <w:t xml:space="preserve">into account. Thus, the UE should always rate match around the SSBs transmitted from the cell from </w:t>
      </w:r>
      <w:r w:rsidR="00917355">
        <w:rPr>
          <w:lang w:val="en-GB" w:eastAsia="ja-JP"/>
        </w:rPr>
        <w:t xml:space="preserve">which </w:t>
      </w:r>
      <w:r w:rsidR="004047E9">
        <w:rPr>
          <w:lang w:val="en-GB" w:eastAsia="ja-JP"/>
        </w:rPr>
        <w:t>the UE receives PDSCH.</w:t>
      </w:r>
      <w:r w:rsidR="002E424F">
        <w:rPr>
          <w:lang w:val="en-GB" w:eastAsia="ja-JP"/>
        </w:rPr>
        <w:t xml:space="preserve"> </w:t>
      </w:r>
      <w:r w:rsidR="00042AAC">
        <w:rPr>
          <w:lang w:val="en-GB" w:eastAsia="ja-JP"/>
        </w:rPr>
        <w:t>Thus,</w:t>
      </w:r>
      <w:r w:rsidR="002E424F">
        <w:rPr>
          <w:lang w:val="en-GB" w:eastAsia="ja-JP"/>
        </w:rPr>
        <w:t xml:space="preserve"> we propose</w:t>
      </w:r>
    </w:p>
    <w:p w14:paraId="58E29553" w14:textId="6A7C6A27" w:rsidR="002E424F" w:rsidRPr="002F2532" w:rsidRDefault="002E424F" w:rsidP="002E424F">
      <w:pPr>
        <w:pStyle w:val="Proposal"/>
        <w:rPr>
          <w:lang w:val="en-GB" w:eastAsia="ja-JP"/>
        </w:rPr>
      </w:pPr>
      <w:bookmarkStart w:id="8" w:name="_Toc101783070"/>
      <w:r>
        <w:rPr>
          <w:lang w:val="en-GB" w:eastAsia="ja-JP"/>
        </w:rPr>
        <w:t>The UE should always rate match around the SSB</w:t>
      </w:r>
      <w:r w:rsidR="00FE7804">
        <w:rPr>
          <w:lang w:val="en-GB" w:eastAsia="ja-JP"/>
        </w:rPr>
        <w:t xml:space="preserve">s transmitted from the cell from </w:t>
      </w:r>
      <w:r w:rsidR="00917355">
        <w:rPr>
          <w:lang w:val="en-GB" w:eastAsia="ja-JP"/>
        </w:rPr>
        <w:t xml:space="preserve">which </w:t>
      </w:r>
      <w:r w:rsidR="00FE7804">
        <w:rPr>
          <w:lang w:val="en-GB" w:eastAsia="ja-JP"/>
        </w:rPr>
        <w:t xml:space="preserve">the UE receives the </w:t>
      </w:r>
      <w:r w:rsidR="00215114">
        <w:rPr>
          <w:lang w:val="en-GB" w:eastAsia="ja-JP"/>
        </w:rPr>
        <w:t>PDSCH.</w:t>
      </w:r>
      <w:bookmarkEnd w:id="8"/>
    </w:p>
    <w:p w14:paraId="726E4F55" w14:textId="1E755CFF" w:rsidR="00CF7E7D" w:rsidRPr="00DD3BEC" w:rsidRDefault="006B0F4C" w:rsidP="00CF7E7D">
      <w:pPr>
        <w:pStyle w:val="Heading2"/>
      </w:pPr>
      <w:r>
        <w:t>2.</w:t>
      </w:r>
      <w:r w:rsidR="00BE3764">
        <w:t>6</w:t>
      </w:r>
      <w:r>
        <w:tab/>
      </w:r>
      <w:r w:rsidR="00CF7E7D" w:rsidRPr="00DD3BEC">
        <w:t>Multi-slot PDSCH</w:t>
      </w:r>
      <w:r w:rsidR="004B0C6A">
        <w:t>/PUSCH</w:t>
      </w:r>
    </w:p>
    <w:p w14:paraId="50875254" w14:textId="6FB1CAC4" w:rsidR="00CF7E7D" w:rsidRDefault="00DD3BEC" w:rsidP="00DD3BEC">
      <w:pPr>
        <w:rPr>
          <w:lang w:val="en-GB" w:eastAsia="ja-JP"/>
        </w:rPr>
      </w:pPr>
      <w:bookmarkStart w:id="9" w:name="_Hlk101625774"/>
      <w:r w:rsidRPr="00DD3BEC">
        <w:rPr>
          <w:lang w:val="en-GB" w:eastAsia="ja-JP"/>
        </w:rPr>
        <w:t>In the</w:t>
      </w:r>
      <w:r>
        <w:rPr>
          <w:lang w:val="en-GB" w:eastAsia="ja-JP"/>
        </w:rPr>
        <w:t xml:space="preserve"> unified TCI framework, a new paradigm for </w:t>
      </w:r>
      <w:r w:rsidR="001D17C0">
        <w:rPr>
          <w:lang w:val="en-GB" w:eastAsia="ja-JP"/>
        </w:rPr>
        <w:t>beam updates has been introduced. The</w:t>
      </w:r>
      <w:r w:rsidR="008A4A23">
        <w:rPr>
          <w:lang w:val="en-GB" w:eastAsia="ja-JP"/>
        </w:rPr>
        <w:t xml:space="preserve"> TCI field </w:t>
      </w:r>
      <w:r w:rsidR="008758C8">
        <w:rPr>
          <w:lang w:val="en-GB" w:eastAsia="ja-JP"/>
        </w:rPr>
        <w:t xml:space="preserve">in </w:t>
      </w:r>
      <w:r w:rsidR="008A4A23">
        <w:rPr>
          <w:lang w:val="en-GB" w:eastAsia="ja-JP"/>
        </w:rPr>
        <w:t xml:space="preserve">DCI has been repurposed, and </w:t>
      </w:r>
      <w:r w:rsidR="008758C8">
        <w:rPr>
          <w:lang w:val="en-GB" w:eastAsia="ja-JP"/>
        </w:rPr>
        <w:t xml:space="preserve">the beam switch timing has been defined to occur </w:t>
      </w:r>
      <w:r w:rsidR="000D2660">
        <w:rPr>
          <w:lang w:val="en-GB" w:eastAsia="ja-JP"/>
        </w:rPr>
        <w:t xml:space="preserve">a certain time </w:t>
      </w:r>
      <w:r w:rsidR="008D19CD">
        <w:rPr>
          <w:lang w:val="en-GB" w:eastAsia="ja-JP"/>
        </w:rPr>
        <w:t>(</w:t>
      </w:r>
      <w:r w:rsidR="008D19CD" w:rsidRPr="008D19CD">
        <w:rPr>
          <w:i/>
          <w:iCs/>
          <w:lang w:val="en-GB" w:eastAsia="ja-JP"/>
        </w:rPr>
        <w:t>BeamAppTime_r17</w:t>
      </w:r>
      <w:r w:rsidR="008D19CD">
        <w:rPr>
          <w:lang w:val="en-GB" w:eastAsia="ja-JP"/>
        </w:rPr>
        <w:t xml:space="preserve">) </w:t>
      </w:r>
      <w:r w:rsidR="000D2660">
        <w:rPr>
          <w:lang w:val="en-GB" w:eastAsia="ja-JP"/>
        </w:rPr>
        <w:t xml:space="preserve">after the ACK corresponding to the DCI has been transmitted. </w:t>
      </w:r>
      <w:r w:rsidR="00A82BA9">
        <w:rPr>
          <w:lang w:val="en-GB" w:eastAsia="ja-JP"/>
        </w:rPr>
        <w:t xml:space="preserve">Care has been taken so that the </w:t>
      </w:r>
      <w:r w:rsidR="009459B0">
        <w:rPr>
          <w:lang w:val="en-GB" w:eastAsia="ja-JP"/>
        </w:rPr>
        <w:t xml:space="preserve">beam switch timing occurs at a slot border, for all the </w:t>
      </w:r>
      <w:r w:rsidR="00614613">
        <w:rPr>
          <w:lang w:val="en-GB" w:eastAsia="ja-JP"/>
        </w:rPr>
        <w:t>CCs that are affected by the switch.</w:t>
      </w:r>
    </w:p>
    <w:bookmarkEnd w:id="9"/>
    <w:p w14:paraId="16CCA201" w14:textId="6558ED96" w:rsidR="005664C6" w:rsidRDefault="00BB0C16" w:rsidP="005664C6">
      <w:pPr>
        <w:rPr>
          <w:lang w:val="en-GB" w:eastAsia="ja-JP"/>
        </w:rPr>
      </w:pPr>
      <w:r>
        <w:rPr>
          <w:lang w:val="en-GB" w:eastAsia="ja-JP"/>
        </w:rPr>
        <w:t>However, there are also transmissions that occur across slot border</w:t>
      </w:r>
      <w:r w:rsidR="008D19CD">
        <w:rPr>
          <w:lang w:val="en-GB" w:eastAsia="ja-JP"/>
        </w:rPr>
        <w:t xml:space="preserve">, e.g., multi-slot PDSCH configured either by the Rel-15 parameter </w:t>
      </w:r>
      <w:proofErr w:type="spellStart"/>
      <w:r w:rsidR="008D19CD" w:rsidRPr="0085777E">
        <w:rPr>
          <w:rFonts w:hint="eastAsia"/>
          <w:i/>
        </w:rPr>
        <w:t>p</w:t>
      </w:r>
      <w:r w:rsidR="008D19CD" w:rsidRPr="0085777E">
        <w:rPr>
          <w:i/>
        </w:rPr>
        <w:t>d</w:t>
      </w:r>
      <w:r w:rsidR="008D19CD" w:rsidRPr="0085777E">
        <w:rPr>
          <w:rFonts w:hint="eastAsia"/>
          <w:i/>
        </w:rPr>
        <w:t>sch-A</w:t>
      </w:r>
      <w:r w:rsidR="008D19CD" w:rsidRPr="0085777E">
        <w:rPr>
          <w:i/>
        </w:rPr>
        <w:t>ggregationFactor</w:t>
      </w:r>
      <w:proofErr w:type="spellEnd"/>
      <w:r w:rsidR="008D19CD" w:rsidRPr="009E3EBB">
        <w:rPr>
          <w:rFonts w:eastAsia="Gulim"/>
          <w:i/>
          <w:iCs/>
          <w:szCs w:val="24"/>
        </w:rPr>
        <w:t xml:space="preserve"> </w:t>
      </w:r>
      <w:r w:rsidR="008D19CD">
        <w:rPr>
          <w:lang w:val="en-GB" w:eastAsia="ja-JP"/>
        </w:rPr>
        <w:t xml:space="preserve">or by the Rel-16 parameter </w:t>
      </w:r>
      <w:proofErr w:type="spellStart"/>
      <w:r w:rsidR="008D19CD" w:rsidRPr="008D19CD">
        <w:rPr>
          <w:i/>
          <w:iCs/>
          <w:lang w:val="en-GB" w:eastAsia="ja-JP"/>
        </w:rPr>
        <w:t>repetitionNumber</w:t>
      </w:r>
      <w:proofErr w:type="spellEnd"/>
      <w:r w:rsidR="008D19CD" w:rsidRPr="008D19CD">
        <w:rPr>
          <w:i/>
          <w:iCs/>
          <w:lang w:val="en-GB" w:eastAsia="ja-JP"/>
        </w:rPr>
        <w:t xml:space="preserve"> </w:t>
      </w:r>
      <w:r w:rsidR="008D19CD">
        <w:rPr>
          <w:lang w:val="en-GB" w:eastAsia="ja-JP"/>
        </w:rPr>
        <w:t>within the configured TDRA table</w:t>
      </w:r>
      <w:r w:rsidR="00D119F9">
        <w:rPr>
          <w:lang w:val="en-GB" w:eastAsia="ja-JP"/>
        </w:rPr>
        <w:t xml:space="preserve">. </w:t>
      </w:r>
      <w:proofErr w:type="gramStart"/>
      <w:r w:rsidR="00D119F9">
        <w:rPr>
          <w:lang w:val="en-GB" w:eastAsia="ja-JP"/>
        </w:rPr>
        <w:t>For the purpose of</w:t>
      </w:r>
      <w:proofErr w:type="gramEnd"/>
      <w:r w:rsidR="00D119F9">
        <w:rPr>
          <w:lang w:val="en-GB" w:eastAsia="ja-JP"/>
        </w:rPr>
        <w:t xml:space="preserve"> </w:t>
      </w:r>
      <w:r w:rsidR="00F06A87">
        <w:rPr>
          <w:lang w:val="en-GB" w:eastAsia="ja-JP"/>
        </w:rPr>
        <w:t xml:space="preserve">unified TCI, PDSCH and </w:t>
      </w:r>
      <w:r w:rsidR="00677827">
        <w:rPr>
          <w:lang w:val="en-GB" w:eastAsia="ja-JP"/>
        </w:rPr>
        <w:t>PUSCH are relevant</w:t>
      </w:r>
      <w:r w:rsidR="006E17A5">
        <w:rPr>
          <w:lang w:val="en-GB" w:eastAsia="ja-JP"/>
        </w:rPr>
        <w:t xml:space="preserve">: </w:t>
      </w:r>
      <w:r w:rsidR="00A01647">
        <w:rPr>
          <w:lang w:val="en-GB" w:eastAsia="ja-JP"/>
        </w:rPr>
        <w:t xml:space="preserve">it may be so that the beam is updated between two slots </w:t>
      </w:r>
      <w:r w:rsidR="00BC4FA6">
        <w:rPr>
          <w:lang w:val="en-GB" w:eastAsia="ja-JP"/>
        </w:rPr>
        <w:t xml:space="preserve">of the </w:t>
      </w:r>
      <w:r w:rsidR="008D19CD">
        <w:rPr>
          <w:lang w:val="en-GB" w:eastAsia="ja-JP"/>
        </w:rPr>
        <w:t xml:space="preserve">multi-slot </w:t>
      </w:r>
      <w:r w:rsidR="00BC4FA6">
        <w:rPr>
          <w:lang w:val="en-GB" w:eastAsia="ja-JP"/>
        </w:rPr>
        <w:t xml:space="preserve">PDSCH/PUSCH allocation. </w:t>
      </w:r>
      <w:r w:rsidR="009C796B">
        <w:rPr>
          <w:lang w:val="en-GB" w:eastAsia="ja-JP"/>
        </w:rPr>
        <w:t xml:space="preserve">Here we note that there are no exceptions to the beam </w:t>
      </w:r>
      <w:r w:rsidR="00F242D6">
        <w:rPr>
          <w:lang w:val="en-GB" w:eastAsia="ja-JP"/>
        </w:rPr>
        <w:t>switching timing: the beam is updated at the configured point in time</w:t>
      </w:r>
      <w:r w:rsidR="00057D3E">
        <w:rPr>
          <w:lang w:val="en-GB" w:eastAsia="ja-JP"/>
        </w:rPr>
        <w:t xml:space="preserve">, which would imply that different slots in a multi-slot PDSCH or </w:t>
      </w:r>
      <w:r w:rsidR="00B45891">
        <w:rPr>
          <w:lang w:val="en-GB" w:eastAsia="ja-JP"/>
        </w:rPr>
        <w:t xml:space="preserve">multi-slot </w:t>
      </w:r>
      <w:r w:rsidR="00057D3E">
        <w:rPr>
          <w:lang w:val="en-GB" w:eastAsia="ja-JP"/>
        </w:rPr>
        <w:t xml:space="preserve">PUSCH allocation may </w:t>
      </w:r>
      <w:r w:rsidR="00B1574B">
        <w:rPr>
          <w:lang w:val="en-GB" w:eastAsia="ja-JP"/>
        </w:rPr>
        <w:t>use different beams in case there is a beam update in the middle of an allocation</w:t>
      </w:r>
      <w:r w:rsidR="000A2476">
        <w:rPr>
          <w:lang w:val="en-GB" w:eastAsia="ja-JP"/>
        </w:rPr>
        <w:t xml:space="preserve"> for the case of unified TCI</w:t>
      </w:r>
      <w:r w:rsidR="00B45891">
        <w:rPr>
          <w:lang w:val="en-GB" w:eastAsia="ja-JP"/>
        </w:rPr>
        <w:t>.</w:t>
      </w:r>
      <w:r w:rsidR="00781BA8">
        <w:rPr>
          <w:lang w:val="en-GB" w:eastAsia="ja-JP"/>
        </w:rPr>
        <w:t xml:space="preserve"> </w:t>
      </w:r>
    </w:p>
    <w:p w14:paraId="2C72B127" w14:textId="45DE3D7C" w:rsidR="005664C6" w:rsidRDefault="005664C6" w:rsidP="00DD3BEC">
      <w:pPr>
        <w:rPr>
          <w:lang w:val="en-GB" w:eastAsia="ja-JP"/>
        </w:rPr>
      </w:pPr>
      <w:r w:rsidRPr="00A858CF">
        <w:rPr>
          <w:noProof/>
          <w:lang w:val="en-GB" w:eastAsia="ja-JP"/>
        </w:rPr>
        <w:lastRenderedPageBreak/>
        <mc:AlternateContent>
          <mc:Choice Requires="wps">
            <w:drawing>
              <wp:anchor distT="45720" distB="45720" distL="114300" distR="114300" simplePos="0" relativeHeight="251658240" behindDoc="0" locked="0" layoutInCell="1" allowOverlap="1" wp14:anchorId="63F44D66" wp14:editId="67A03E3E">
                <wp:simplePos x="0" y="0"/>
                <wp:positionH relativeFrom="margin">
                  <wp:align>right</wp:align>
                </wp:positionH>
                <wp:positionV relativeFrom="paragraph">
                  <wp:posOffset>935727</wp:posOffset>
                </wp:positionV>
                <wp:extent cx="6098540" cy="1404620"/>
                <wp:effectExtent l="0" t="0" r="16510" b="1651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8540" cy="1404620"/>
                        </a:xfrm>
                        <a:prstGeom prst="rect">
                          <a:avLst/>
                        </a:prstGeom>
                        <a:solidFill>
                          <a:srgbClr val="FFFFFF"/>
                        </a:solidFill>
                        <a:ln w="9525">
                          <a:solidFill>
                            <a:srgbClr val="000000"/>
                          </a:solidFill>
                          <a:miter lim="800000"/>
                          <a:headEnd/>
                          <a:tailEnd/>
                        </a:ln>
                      </wps:spPr>
                      <wps:txbx>
                        <w:txbxContent>
                          <w:p w14:paraId="731A300C" w14:textId="5E57E012" w:rsidR="00A858CF" w:rsidRPr="00A858CF" w:rsidRDefault="00A858CF">
                            <w:pPr>
                              <w:rPr>
                                <w:rFonts w:eastAsia="SimSun" w:cs="Arial"/>
                                <w:color w:val="000000"/>
                                <w:szCs w:val="20"/>
                                <w:lang w:val="en-GB"/>
                              </w:rPr>
                            </w:pPr>
                            <w:r w:rsidRPr="00A858CF">
                              <w:rPr>
                                <w:rFonts w:eastAsia="SimSun" w:cs="Arial"/>
                                <w:color w:val="000000"/>
                                <w:szCs w:val="20"/>
                                <w:lang w:val="en-GB"/>
                              </w:rPr>
                              <w:t>Excerpt from 38.214, Clause 5.1.5</w:t>
                            </w:r>
                          </w:p>
                          <w:p w14:paraId="3450DF81" w14:textId="32A15A83" w:rsidR="00A858CF" w:rsidRDefault="00A858CF">
                            <w:r w:rsidRPr="00A858CF">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ED23BB">
                              <w:rPr>
                                <w:rFonts w:ascii="Times New Roman" w:eastAsia="SimSun" w:hAnsi="Times New Roman" w:cs="Times New Roman"/>
                                <w:i/>
                                <w:color w:val="000000"/>
                                <w:szCs w:val="20"/>
                                <w:highlight w:val="green"/>
                                <w:lang w:val="en-GB"/>
                              </w:rPr>
                              <w:t>TCI-State</w:t>
                            </w:r>
                            <w:r w:rsidRPr="00A858CF">
                              <w:rPr>
                                <w:rFonts w:ascii="Times New Roman" w:eastAsia="SimSun" w:hAnsi="Times New Roman" w:cs="Times New Roman"/>
                                <w:color w:val="000000"/>
                                <w:szCs w:val="20"/>
                                <w:lang w:val="en-GB"/>
                              </w:rPr>
                              <w:t xml:space="preserve"> according to the value of the '</w:t>
                            </w:r>
                            <w:r w:rsidRPr="00A858CF">
                              <w:rPr>
                                <w:rFonts w:ascii="Times New Roman" w:eastAsia="SimSun" w:hAnsi="Times New Roman" w:cs="Times New Roman"/>
                                <w:i/>
                                <w:color w:val="000000"/>
                                <w:szCs w:val="20"/>
                                <w:lang w:val="en-GB"/>
                              </w:rPr>
                              <w:t>Transmission Configuration Indication</w:t>
                            </w:r>
                            <w:r w:rsidRPr="00A858CF">
                              <w:rPr>
                                <w:rFonts w:ascii="Times New Roman" w:eastAsia="SimSun" w:hAnsi="Times New Roman" w:cs="Times New Roman"/>
                                <w:color w:val="000000"/>
                                <w:szCs w:val="20"/>
                                <w:lang w:val="en-GB"/>
                              </w:rPr>
                              <w:t xml:space="preserve">' field in the detected PDCCH with DCI for determining PDSCH antenna port quasi co-location. </w:t>
                            </w:r>
                            <w:r w:rsidRPr="00A858CF">
                              <w:rPr>
                                <w:rFonts w:ascii="Times New Roman" w:eastAsia="SimSun" w:hAnsi="Times New Roman" w:cs="Times New Roman"/>
                                <w:color w:val="000000"/>
                                <w:szCs w:val="20"/>
                                <w:highlight w:val="yellow"/>
                                <w:lang w:val="en-GB"/>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A858CF">
                              <w:rPr>
                                <w:rFonts w:ascii="Times New Roman" w:eastAsia="SimSun" w:hAnsi="Times New Roman" w:cs="Times New Roman"/>
                                <w:i/>
                                <w:color w:val="000000"/>
                                <w:szCs w:val="20"/>
                                <w:highlight w:val="yellow"/>
                                <w:lang w:val="en-GB"/>
                              </w:rPr>
                              <w:t>timeDurationForQCL</w:t>
                            </w:r>
                            <w:proofErr w:type="spellEnd"/>
                            <w:r w:rsidRPr="00A858CF">
                              <w:rPr>
                                <w:rFonts w:ascii="Times New Roman" w:eastAsia="SimSun" w:hAnsi="Times New Roman" w:cs="Times New Roman"/>
                                <w:color w:val="000000"/>
                                <w:szCs w:val="20"/>
                                <w:highlight w:val="yellow"/>
                                <w:lang w:val="en-GB"/>
                              </w:rPr>
                              <w:t>, where the threshold is based on reported UE capability [13, TS 38.306].</w:t>
                            </w:r>
                            <w:r w:rsidRPr="00A858CF">
                              <w:rPr>
                                <w:rFonts w:ascii="Times New Roman" w:eastAsia="SimSun" w:hAnsi="Times New Roman" w:cs="Times New Roman"/>
                                <w:color w:val="000000"/>
                                <w:szCs w:val="20"/>
                                <w:lang w:val="en-GB"/>
                              </w:rPr>
                              <w:t xml:space="preserve"> For a single slot PDSCH, the indicated TCI state(s) </w:t>
                            </w:r>
                            <w:r w:rsidRPr="00A858CF">
                              <w:rPr>
                                <w:rFonts w:ascii="Times New Roman" w:eastAsia="SimSun" w:hAnsi="Times New Roman" w:cs="Times New Roman"/>
                                <w:szCs w:val="20"/>
                                <w:lang w:val="en-GB"/>
                              </w:rPr>
                              <w:t xml:space="preserve">should be based on the activated TCI states in the slot with the scheduled PDSCH. </w:t>
                            </w:r>
                            <w:bookmarkStart w:id="10" w:name="_Hlk530421126"/>
                            <w:r w:rsidRPr="00A858CF">
                              <w:rPr>
                                <w:rFonts w:ascii="Times New Roman" w:eastAsia="SimSun" w:hAnsi="Times New Roman" w:cs="Times New Roman"/>
                                <w:szCs w:val="20"/>
                                <w:highlight w:val="yellow"/>
                                <w:lang w:val="en-GB"/>
                              </w:rPr>
                              <w:t>For a multi-slot PDSCH</w:t>
                            </w:r>
                            <w:r w:rsidRPr="00A858CF">
                              <w:rPr>
                                <w:rFonts w:ascii="Times New Roman" w:eastAsia="SimSun" w:hAnsi="Times New Roman" w:cs="Times New Roman"/>
                                <w:szCs w:val="20"/>
                                <w:lang w:val="en-GB"/>
                              </w:rPr>
                              <w:t xml:space="preserve"> or the UE is configured with higher layer parameter [</w:t>
                            </w:r>
                            <w:r w:rsidRPr="00A858CF">
                              <w:rPr>
                                <w:rFonts w:ascii="Times New Roman" w:eastAsia="SimSun" w:hAnsi="Times New Roman" w:cs="Times New Roman"/>
                                <w:i/>
                                <w:iCs/>
                                <w:szCs w:val="20"/>
                                <w:lang w:val="en-GB"/>
                              </w:rPr>
                              <w:t>pdsch-TimeDomainAllocationListForMultiPDSCH-r17</w:t>
                            </w:r>
                            <w:r w:rsidRPr="00A858CF">
                              <w:rPr>
                                <w:rFonts w:ascii="Times New Roman" w:eastAsia="SimSun" w:hAnsi="Times New Roman" w:cs="Times New Roman"/>
                                <w:szCs w:val="20"/>
                                <w:lang w:val="en-GB"/>
                              </w:rPr>
                              <w:t xml:space="preserve">], </w:t>
                            </w:r>
                            <w:r w:rsidRPr="00A858CF">
                              <w:rPr>
                                <w:rFonts w:ascii="Times New Roman" w:eastAsia="SimSun" w:hAnsi="Times New Roman" w:cs="Times New Roman"/>
                                <w:szCs w:val="20"/>
                                <w:highlight w:val="yellow"/>
                                <w:lang w:val="en-GB"/>
                              </w:rPr>
                              <w:t>the indicated TCI state(s) should be based on the activated TCI states in the first slot with the scheduled PDSCH(s), and UE shall expect the activated TCI states are the same across the slots with the scheduled PDSCH(s).</w:t>
                            </w:r>
                            <w:r w:rsidRPr="00A858CF">
                              <w:rPr>
                                <w:rFonts w:ascii="Times New Roman" w:eastAsia="SimSun" w:hAnsi="Times New Roman" w:cs="Times New Roman"/>
                                <w:szCs w:val="20"/>
                                <w:lang w:val="en-GB"/>
                              </w:rPr>
                              <w:t xml:space="preserve"> When the UE is configured with CORESET associated with a search space set for cross-carrier scheduling and the UE is not configured with </w:t>
                            </w:r>
                            <w:proofErr w:type="spellStart"/>
                            <w:r w:rsidRPr="00A858CF">
                              <w:rPr>
                                <w:rFonts w:ascii="Times New Roman" w:eastAsia="SimSun" w:hAnsi="Times New Roman" w:cs="Times New Roman"/>
                                <w:i/>
                                <w:szCs w:val="20"/>
                                <w:lang w:val="en-GB"/>
                              </w:rPr>
                              <w:t>enableDefaultBeamForCCS</w:t>
                            </w:r>
                            <w:proofErr w:type="spellEnd"/>
                            <w:r w:rsidRPr="00A858CF">
                              <w:rPr>
                                <w:rFonts w:ascii="Times New Roman" w:eastAsia="SimSun" w:hAnsi="Times New Roman" w:cs="Times New Roman"/>
                                <w:szCs w:val="20"/>
                                <w:lang w:val="en-GB"/>
                              </w:rPr>
                              <w:t xml:space="preserve">, the UE expects </w:t>
                            </w:r>
                            <w:proofErr w:type="spellStart"/>
                            <w:r w:rsidRPr="00A858CF">
                              <w:rPr>
                                <w:rFonts w:ascii="Times New Roman" w:eastAsia="SimSun" w:hAnsi="Times New Roman" w:cs="Times New Roman"/>
                                <w:i/>
                                <w:szCs w:val="20"/>
                                <w:lang w:val="en-GB"/>
                              </w:rPr>
                              <w:t>tci-PresentInDCI</w:t>
                            </w:r>
                            <w:proofErr w:type="spellEnd"/>
                            <w:r w:rsidRPr="00A858CF">
                              <w:rPr>
                                <w:rFonts w:ascii="Times New Roman" w:eastAsia="SimSun" w:hAnsi="Times New Roman" w:cs="Times New Roman"/>
                                <w:i/>
                                <w:szCs w:val="20"/>
                                <w:lang w:val="en-GB"/>
                              </w:rPr>
                              <w:t xml:space="preserve"> </w:t>
                            </w:r>
                            <w:r w:rsidRPr="00A858CF">
                              <w:rPr>
                                <w:rFonts w:ascii="Times New Roman" w:eastAsia="SimSun" w:hAnsi="Times New Roman" w:cs="Times New Roman"/>
                                <w:szCs w:val="20"/>
                                <w:lang w:val="en-GB"/>
                              </w:rPr>
                              <w:t xml:space="preserve">is set as 'enabled' or </w:t>
                            </w:r>
                            <w:r w:rsidRPr="00A858CF">
                              <w:rPr>
                                <w:rFonts w:ascii="Times New Roman" w:eastAsia="SimSun" w:hAnsi="Times New Roman" w:cs="Times New Roman"/>
                                <w:i/>
                                <w:szCs w:val="20"/>
                                <w:lang w:val="en-GB"/>
                              </w:rPr>
                              <w:t xml:space="preserve">tci-PresentDCI-1-2 </w:t>
                            </w:r>
                            <w:r w:rsidRPr="00A858CF">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A858CF">
                              <w:rPr>
                                <w:rFonts w:ascii="Times New Roman" w:eastAsia="SimSun" w:hAnsi="Times New Roman" w:cs="Times New Roman"/>
                                <w:i/>
                                <w:color w:val="000000"/>
                                <w:szCs w:val="20"/>
                                <w:lang w:val="en-GB"/>
                              </w:rPr>
                              <w:t>qcl</w:t>
                            </w:r>
                            <w:proofErr w:type="spellEnd"/>
                            <w:r w:rsidRPr="00A858CF">
                              <w:rPr>
                                <w:rFonts w:ascii="Times New Roman" w:eastAsia="SimSun" w:hAnsi="Times New Roman" w:cs="Times New Roman"/>
                                <w:i/>
                                <w:color w:val="000000"/>
                                <w:szCs w:val="20"/>
                                <w:lang w:val="en-GB"/>
                              </w:rPr>
                              <w:t>-Type</w:t>
                            </w:r>
                            <w:r w:rsidRPr="00A858CF">
                              <w:rPr>
                                <w:rFonts w:ascii="Times New Roman" w:eastAsia="SimSun" w:hAnsi="Times New Roman" w:cs="Times New Roman"/>
                                <w:color w:val="000000"/>
                                <w:szCs w:val="20"/>
                                <w:lang w:val="en-GB"/>
                              </w:rPr>
                              <w:t xml:space="preserve"> set to</w:t>
                            </w:r>
                            <w:r w:rsidRPr="00A858CF">
                              <w:rPr>
                                <w:rFonts w:ascii="Times New Roman" w:eastAsia="SimSun" w:hAnsi="Times New Roman" w:cs="Times New Roman"/>
                                <w:szCs w:val="20"/>
                                <w:lang w:val="en-GB"/>
                              </w:rPr>
                              <w:t xml:space="preserve"> '</w:t>
                            </w:r>
                            <w:proofErr w:type="spellStart"/>
                            <w:r w:rsidRPr="00A858CF">
                              <w:rPr>
                                <w:rFonts w:ascii="Times New Roman" w:eastAsia="SimSun" w:hAnsi="Times New Roman" w:cs="Times New Roman"/>
                                <w:szCs w:val="20"/>
                                <w:lang w:val="en-GB"/>
                              </w:rPr>
                              <w:t>typeD</w:t>
                            </w:r>
                            <w:proofErr w:type="spellEnd"/>
                            <w:r w:rsidRPr="00A858CF">
                              <w:rPr>
                                <w:rFonts w:ascii="Times New Roman" w:eastAsia="SimSun" w:hAnsi="Times New Roman" w:cs="Times New Roman"/>
                                <w:szCs w:val="20"/>
                                <w:lang w:val="en-GB"/>
                              </w:rPr>
                              <w:t xml:space="preserve">', the UE expects the time offset between the reception of the detected PDCCH in the search space set and a corresponding PDSCH is larger than or equal to the threshold </w:t>
                            </w:r>
                            <w:proofErr w:type="spellStart"/>
                            <w:r w:rsidRPr="00A858CF">
                              <w:rPr>
                                <w:rFonts w:ascii="Times New Roman" w:eastAsia="SimSun" w:hAnsi="Times New Roman" w:cs="Times New Roman"/>
                                <w:i/>
                                <w:color w:val="000000"/>
                                <w:szCs w:val="20"/>
                                <w:lang w:val="en-GB"/>
                              </w:rPr>
                              <w:t>timeDurationForQCL</w:t>
                            </w:r>
                            <w:proofErr w:type="spellEnd"/>
                            <w:r w:rsidRPr="00A858CF">
                              <w:rPr>
                                <w:rFonts w:ascii="Times New Roman" w:eastAsia="SimSun" w:hAnsi="Times New Roman" w:cs="Times New Roman"/>
                                <w:i/>
                                <w:szCs w:val="20"/>
                                <w:lang w:val="en-GB"/>
                              </w:rPr>
                              <w:t>.</w:t>
                            </w:r>
                            <w:bookmarkEnd w:id="10"/>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3F44D66" id="Text Box 2" o:spid="_x0000_s1028" type="#_x0000_t202" style="position:absolute;margin-left:429pt;margin-top:73.7pt;width:480.2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">
                <v:textbox style="mso-fit-shape-to-text:t">
                  <w:txbxContent>
                    <w:p w14:paraId="731A300C" w14:textId="5E57E012" w:rsidR="00A858CF" w:rsidRPr="00A858CF" w:rsidRDefault="00A858CF">
                      <w:pPr>
                        <w:rPr>
                          <w:rFonts w:eastAsia="SimSun" w:cs="Arial"/>
                          <w:color w:val="000000"/>
                          <w:szCs w:val="20"/>
                          <w:lang w:val="en-GB"/>
                        </w:rPr>
                      </w:pPr>
                      <w:r w:rsidRPr="00A858CF">
                        <w:rPr>
                          <w:rFonts w:eastAsia="SimSun" w:cs="Arial"/>
                          <w:color w:val="000000"/>
                          <w:szCs w:val="20"/>
                          <w:lang w:val="en-GB"/>
                        </w:rPr>
                        <w:t>Excerpt from 38.214, Clause 5.1.5</w:t>
                      </w:r>
                    </w:p>
                    <w:p w14:paraId="3450DF81" w14:textId="32A15A83" w:rsidR="00A858CF" w:rsidRDefault="00A858CF">
                      <w:r w:rsidRPr="00A858CF">
                        <w:rPr>
                          <w:rFonts w:ascii="Times New Roman" w:eastAsia="SimSun" w:hAnsi="Times New Roman" w:cs="Times New Roman"/>
                          <w:color w:val="000000"/>
                          <w:szCs w:val="20"/>
                          <w:lang w:val="en-GB"/>
                        </w:rPr>
                        <w:t xml:space="preserve">If a PDSCH is scheduled by a DCI format having the TCI field present, the TCI field in DCI in the scheduling component carrier points to the activated TCI states in the scheduled component carrier or DL BWP, the UE shall use the </w:t>
                      </w:r>
                      <w:r w:rsidRPr="00ED23BB">
                        <w:rPr>
                          <w:rFonts w:ascii="Times New Roman" w:eastAsia="SimSun" w:hAnsi="Times New Roman" w:cs="Times New Roman"/>
                          <w:i/>
                          <w:color w:val="000000"/>
                          <w:szCs w:val="20"/>
                          <w:highlight w:val="green"/>
                          <w:lang w:val="en-GB"/>
                        </w:rPr>
                        <w:t>TCI-State</w:t>
                      </w:r>
                      <w:r w:rsidRPr="00A858CF">
                        <w:rPr>
                          <w:rFonts w:ascii="Times New Roman" w:eastAsia="SimSun" w:hAnsi="Times New Roman" w:cs="Times New Roman"/>
                          <w:color w:val="000000"/>
                          <w:szCs w:val="20"/>
                          <w:lang w:val="en-GB"/>
                        </w:rPr>
                        <w:t xml:space="preserve"> according to the value of the '</w:t>
                      </w:r>
                      <w:r w:rsidRPr="00A858CF">
                        <w:rPr>
                          <w:rFonts w:ascii="Times New Roman" w:eastAsia="SimSun" w:hAnsi="Times New Roman" w:cs="Times New Roman"/>
                          <w:i/>
                          <w:color w:val="000000"/>
                          <w:szCs w:val="20"/>
                          <w:lang w:val="en-GB"/>
                        </w:rPr>
                        <w:t>Transmission Configuration Indication</w:t>
                      </w:r>
                      <w:r w:rsidRPr="00A858CF">
                        <w:rPr>
                          <w:rFonts w:ascii="Times New Roman" w:eastAsia="SimSun" w:hAnsi="Times New Roman" w:cs="Times New Roman"/>
                          <w:color w:val="000000"/>
                          <w:szCs w:val="20"/>
                          <w:lang w:val="en-GB"/>
                        </w:rPr>
                        <w:t xml:space="preserve">' field in the detected PDCCH with DCI for determining PDSCH antenna port quasi co-location. </w:t>
                      </w:r>
                      <w:r w:rsidRPr="00A858CF">
                        <w:rPr>
                          <w:rFonts w:ascii="Times New Roman" w:eastAsia="SimSun" w:hAnsi="Times New Roman" w:cs="Times New Roman"/>
                          <w:color w:val="000000"/>
                          <w:szCs w:val="20"/>
                          <w:highlight w:val="yellow"/>
                          <w:lang w:val="en-GB"/>
                        </w:rPr>
                        <w:t xml:space="preserve">The UE may assume that the DM-RS ports of PDSCH of a serving cell are quasi co-located with the RS(s) in the TCI state with respect to the QCL type parameter(s) given by the indicated TCI state if the time offset between the reception of the DL DCI and the corresponding PDSCH is equal to or greater than a threshold </w:t>
                      </w:r>
                      <w:proofErr w:type="spellStart"/>
                      <w:r w:rsidRPr="00A858CF">
                        <w:rPr>
                          <w:rFonts w:ascii="Times New Roman" w:eastAsia="SimSun" w:hAnsi="Times New Roman" w:cs="Times New Roman"/>
                          <w:i/>
                          <w:color w:val="000000"/>
                          <w:szCs w:val="20"/>
                          <w:highlight w:val="yellow"/>
                          <w:lang w:val="en-GB"/>
                        </w:rPr>
                        <w:t>timeDurationForQCL</w:t>
                      </w:r>
                      <w:proofErr w:type="spellEnd"/>
                      <w:r w:rsidRPr="00A858CF">
                        <w:rPr>
                          <w:rFonts w:ascii="Times New Roman" w:eastAsia="SimSun" w:hAnsi="Times New Roman" w:cs="Times New Roman"/>
                          <w:color w:val="000000"/>
                          <w:szCs w:val="20"/>
                          <w:highlight w:val="yellow"/>
                          <w:lang w:val="en-GB"/>
                        </w:rPr>
                        <w:t>, where the threshold is based on reported UE capability [13, TS 38.306].</w:t>
                      </w:r>
                      <w:r w:rsidRPr="00A858CF">
                        <w:rPr>
                          <w:rFonts w:ascii="Times New Roman" w:eastAsia="SimSun" w:hAnsi="Times New Roman" w:cs="Times New Roman"/>
                          <w:color w:val="000000"/>
                          <w:szCs w:val="20"/>
                          <w:lang w:val="en-GB"/>
                        </w:rPr>
                        <w:t xml:space="preserve"> For a single slot PDSCH, the indicated TCI state(s) </w:t>
                      </w:r>
                      <w:r w:rsidRPr="00A858CF">
                        <w:rPr>
                          <w:rFonts w:ascii="Times New Roman" w:eastAsia="SimSun" w:hAnsi="Times New Roman" w:cs="Times New Roman"/>
                          <w:szCs w:val="20"/>
                          <w:lang w:val="en-GB"/>
                        </w:rPr>
                        <w:t xml:space="preserve">should be based on the activated TCI states in the slot with the scheduled PDSCH. </w:t>
                      </w:r>
                      <w:bookmarkStart w:id="11" w:name="_Hlk530421126"/>
                      <w:r w:rsidRPr="00A858CF">
                        <w:rPr>
                          <w:rFonts w:ascii="Times New Roman" w:eastAsia="SimSun" w:hAnsi="Times New Roman" w:cs="Times New Roman"/>
                          <w:szCs w:val="20"/>
                          <w:highlight w:val="yellow"/>
                          <w:lang w:val="en-GB"/>
                        </w:rPr>
                        <w:t>For a multi-slot PDSCH</w:t>
                      </w:r>
                      <w:r w:rsidRPr="00A858CF">
                        <w:rPr>
                          <w:rFonts w:ascii="Times New Roman" w:eastAsia="SimSun" w:hAnsi="Times New Roman" w:cs="Times New Roman"/>
                          <w:szCs w:val="20"/>
                          <w:lang w:val="en-GB"/>
                        </w:rPr>
                        <w:t xml:space="preserve"> or the UE is configured with higher layer parameter [</w:t>
                      </w:r>
                      <w:r w:rsidRPr="00A858CF">
                        <w:rPr>
                          <w:rFonts w:ascii="Times New Roman" w:eastAsia="SimSun" w:hAnsi="Times New Roman" w:cs="Times New Roman"/>
                          <w:i/>
                          <w:iCs/>
                          <w:szCs w:val="20"/>
                          <w:lang w:val="en-GB"/>
                        </w:rPr>
                        <w:t>pdsch-TimeDomainAllocationListForMultiPDSCH-r17</w:t>
                      </w:r>
                      <w:r w:rsidRPr="00A858CF">
                        <w:rPr>
                          <w:rFonts w:ascii="Times New Roman" w:eastAsia="SimSun" w:hAnsi="Times New Roman" w:cs="Times New Roman"/>
                          <w:szCs w:val="20"/>
                          <w:lang w:val="en-GB"/>
                        </w:rPr>
                        <w:t xml:space="preserve">], </w:t>
                      </w:r>
                      <w:r w:rsidRPr="00A858CF">
                        <w:rPr>
                          <w:rFonts w:ascii="Times New Roman" w:eastAsia="SimSun" w:hAnsi="Times New Roman" w:cs="Times New Roman"/>
                          <w:szCs w:val="20"/>
                          <w:highlight w:val="yellow"/>
                          <w:lang w:val="en-GB"/>
                        </w:rPr>
                        <w:t>the indicated TCI state(s) should be based on the activated TCI states in the first slot with the scheduled PDSCH(s), and UE shall expect the activated TCI states are the same across the slots with the scheduled PDSCH(s).</w:t>
                      </w:r>
                      <w:r w:rsidRPr="00A858CF">
                        <w:rPr>
                          <w:rFonts w:ascii="Times New Roman" w:eastAsia="SimSun" w:hAnsi="Times New Roman" w:cs="Times New Roman"/>
                          <w:szCs w:val="20"/>
                          <w:lang w:val="en-GB"/>
                        </w:rPr>
                        <w:t xml:space="preserve"> When the UE is configured with CORESET associated with a search space set for cross-carrier scheduling and the UE is not configured with </w:t>
                      </w:r>
                      <w:proofErr w:type="spellStart"/>
                      <w:r w:rsidRPr="00A858CF">
                        <w:rPr>
                          <w:rFonts w:ascii="Times New Roman" w:eastAsia="SimSun" w:hAnsi="Times New Roman" w:cs="Times New Roman"/>
                          <w:i/>
                          <w:szCs w:val="20"/>
                          <w:lang w:val="en-GB"/>
                        </w:rPr>
                        <w:t>enableDefaultBeamForCCS</w:t>
                      </w:r>
                      <w:proofErr w:type="spellEnd"/>
                      <w:r w:rsidRPr="00A858CF">
                        <w:rPr>
                          <w:rFonts w:ascii="Times New Roman" w:eastAsia="SimSun" w:hAnsi="Times New Roman" w:cs="Times New Roman"/>
                          <w:szCs w:val="20"/>
                          <w:lang w:val="en-GB"/>
                        </w:rPr>
                        <w:t xml:space="preserve">, the UE expects </w:t>
                      </w:r>
                      <w:proofErr w:type="spellStart"/>
                      <w:r w:rsidRPr="00A858CF">
                        <w:rPr>
                          <w:rFonts w:ascii="Times New Roman" w:eastAsia="SimSun" w:hAnsi="Times New Roman" w:cs="Times New Roman"/>
                          <w:i/>
                          <w:szCs w:val="20"/>
                          <w:lang w:val="en-GB"/>
                        </w:rPr>
                        <w:t>tci-PresentInDCI</w:t>
                      </w:r>
                      <w:proofErr w:type="spellEnd"/>
                      <w:r w:rsidRPr="00A858CF">
                        <w:rPr>
                          <w:rFonts w:ascii="Times New Roman" w:eastAsia="SimSun" w:hAnsi="Times New Roman" w:cs="Times New Roman"/>
                          <w:i/>
                          <w:szCs w:val="20"/>
                          <w:lang w:val="en-GB"/>
                        </w:rPr>
                        <w:t xml:space="preserve"> </w:t>
                      </w:r>
                      <w:r w:rsidRPr="00A858CF">
                        <w:rPr>
                          <w:rFonts w:ascii="Times New Roman" w:eastAsia="SimSun" w:hAnsi="Times New Roman" w:cs="Times New Roman"/>
                          <w:szCs w:val="20"/>
                          <w:lang w:val="en-GB"/>
                        </w:rPr>
                        <w:t xml:space="preserve">is set as 'enabled' or </w:t>
                      </w:r>
                      <w:r w:rsidRPr="00A858CF">
                        <w:rPr>
                          <w:rFonts w:ascii="Times New Roman" w:eastAsia="SimSun" w:hAnsi="Times New Roman" w:cs="Times New Roman"/>
                          <w:i/>
                          <w:szCs w:val="20"/>
                          <w:lang w:val="en-GB"/>
                        </w:rPr>
                        <w:t xml:space="preserve">tci-PresentDCI-1-2 </w:t>
                      </w:r>
                      <w:r w:rsidRPr="00A858CF">
                        <w:rPr>
                          <w:rFonts w:ascii="Times New Roman" w:eastAsia="SimSun" w:hAnsi="Times New Roman" w:cs="Times New Roman"/>
                          <w:szCs w:val="20"/>
                          <w:lang w:val="en-GB"/>
                        </w:rPr>
                        <w:t xml:space="preserve">is configured for the CORESET, and if one or more of the TCI states configured for the serving cell scheduled by the search space set contains </w:t>
                      </w:r>
                      <w:proofErr w:type="spellStart"/>
                      <w:r w:rsidRPr="00A858CF">
                        <w:rPr>
                          <w:rFonts w:ascii="Times New Roman" w:eastAsia="SimSun" w:hAnsi="Times New Roman" w:cs="Times New Roman"/>
                          <w:i/>
                          <w:color w:val="000000"/>
                          <w:szCs w:val="20"/>
                          <w:lang w:val="en-GB"/>
                        </w:rPr>
                        <w:t>qcl</w:t>
                      </w:r>
                      <w:proofErr w:type="spellEnd"/>
                      <w:r w:rsidRPr="00A858CF">
                        <w:rPr>
                          <w:rFonts w:ascii="Times New Roman" w:eastAsia="SimSun" w:hAnsi="Times New Roman" w:cs="Times New Roman"/>
                          <w:i/>
                          <w:color w:val="000000"/>
                          <w:szCs w:val="20"/>
                          <w:lang w:val="en-GB"/>
                        </w:rPr>
                        <w:t>-Type</w:t>
                      </w:r>
                      <w:r w:rsidRPr="00A858CF">
                        <w:rPr>
                          <w:rFonts w:ascii="Times New Roman" w:eastAsia="SimSun" w:hAnsi="Times New Roman" w:cs="Times New Roman"/>
                          <w:color w:val="000000"/>
                          <w:szCs w:val="20"/>
                          <w:lang w:val="en-GB"/>
                        </w:rPr>
                        <w:t xml:space="preserve"> set to</w:t>
                      </w:r>
                      <w:r w:rsidRPr="00A858CF">
                        <w:rPr>
                          <w:rFonts w:ascii="Times New Roman" w:eastAsia="SimSun" w:hAnsi="Times New Roman" w:cs="Times New Roman"/>
                          <w:szCs w:val="20"/>
                          <w:lang w:val="en-GB"/>
                        </w:rPr>
                        <w:t xml:space="preserve"> '</w:t>
                      </w:r>
                      <w:proofErr w:type="spellStart"/>
                      <w:r w:rsidRPr="00A858CF">
                        <w:rPr>
                          <w:rFonts w:ascii="Times New Roman" w:eastAsia="SimSun" w:hAnsi="Times New Roman" w:cs="Times New Roman"/>
                          <w:szCs w:val="20"/>
                          <w:lang w:val="en-GB"/>
                        </w:rPr>
                        <w:t>typeD</w:t>
                      </w:r>
                      <w:proofErr w:type="spellEnd"/>
                      <w:r w:rsidRPr="00A858CF">
                        <w:rPr>
                          <w:rFonts w:ascii="Times New Roman" w:eastAsia="SimSun" w:hAnsi="Times New Roman" w:cs="Times New Roman"/>
                          <w:szCs w:val="20"/>
                          <w:lang w:val="en-GB"/>
                        </w:rPr>
                        <w:t xml:space="preserve">', the UE expects the time offset between the reception of the detected PDCCH in the search space set and a corresponding PDSCH is larger than or equal to the threshold </w:t>
                      </w:r>
                      <w:proofErr w:type="spellStart"/>
                      <w:r w:rsidRPr="00A858CF">
                        <w:rPr>
                          <w:rFonts w:ascii="Times New Roman" w:eastAsia="SimSun" w:hAnsi="Times New Roman" w:cs="Times New Roman"/>
                          <w:i/>
                          <w:color w:val="000000"/>
                          <w:szCs w:val="20"/>
                          <w:lang w:val="en-GB"/>
                        </w:rPr>
                        <w:t>timeDurationForQCL</w:t>
                      </w:r>
                      <w:proofErr w:type="spellEnd"/>
                      <w:r w:rsidRPr="00A858CF">
                        <w:rPr>
                          <w:rFonts w:ascii="Times New Roman" w:eastAsia="SimSun" w:hAnsi="Times New Roman" w:cs="Times New Roman"/>
                          <w:i/>
                          <w:szCs w:val="20"/>
                          <w:lang w:val="en-GB"/>
                        </w:rPr>
                        <w:t>.</w:t>
                      </w:r>
                      <w:bookmarkEnd w:id="11"/>
                    </w:p>
                  </w:txbxContent>
                </v:textbox>
                <w10:wrap type="topAndBottom" anchorx="margin"/>
              </v:shape>
            </w:pict>
          </mc:Fallback>
        </mc:AlternateContent>
      </w:r>
      <w:r w:rsidR="00781BA8">
        <w:rPr>
          <w:lang w:val="en-GB" w:eastAsia="ja-JP"/>
        </w:rPr>
        <w:t xml:space="preserve">We note that this </w:t>
      </w:r>
      <w:proofErr w:type="gramStart"/>
      <w:r w:rsidR="00781BA8">
        <w:rPr>
          <w:lang w:val="en-GB" w:eastAsia="ja-JP"/>
        </w:rPr>
        <w:t>is in contrast to</w:t>
      </w:r>
      <w:proofErr w:type="gramEnd"/>
      <w:r w:rsidR="00781BA8">
        <w:rPr>
          <w:lang w:val="en-GB" w:eastAsia="ja-JP"/>
        </w:rPr>
        <w:t xml:space="preserve"> Rel-15/16, where TCI state updates are not allowed within the time span of a multi-slot PDSCH as shown in the highlighted excerpt from 38.214 shown below.</w:t>
      </w:r>
      <w:r w:rsidR="00FB427A">
        <w:rPr>
          <w:lang w:val="en-GB" w:eastAsia="ja-JP"/>
        </w:rPr>
        <w:t xml:space="preserve"> The Rel-15/16 </w:t>
      </w:r>
      <w:proofErr w:type="spellStart"/>
      <w:r w:rsidR="00FB427A">
        <w:rPr>
          <w:lang w:val="en-GB" w:eastAsia="ja-JP"/>
        </w:rPr>
        <w:t>behavior</w:t>
      </w:r>
      <w:proofErr w:type="spellEnd"/>
      <w:r w:rsidR="00FB427A">
        <w:rPr>
          <w:lang w:val="en-GB" w:eastAsia="ja-JP"/>
        </w:rPr>
        <w:t xml:space="preserve"> is that if the time offset between the DCI and the first slot of the multi-slot PDSCH </w:t>
      </w:r>
      <w:r w:rsidR="000B3884">
        <w:rPr>
          <w:lang w:val="en-GB" w:eastAsia="ja-JP"/>
        </w:rPr>
        <w:t xml:space="preserve">(there is only one PDSCH for a multi-slot PDSCH, and the beginning of that PDSCH is the beginning of the first slot) </w:t>
      </w:r>
      <w:r w:rsidR="00FB427A">
        <w:rPr>
          <w:lang w:val="en-GB" w:eastAsia="ja-JP"/>
        </w:rPr>
        <w:t xml:space="preserve">is equal to or greater than </w:t>
      </w:r>
      <w:proofErr w:type="spellStart"/>
      <w:r w:rsidR="00FB427A" w:rsidRPr="00FB427A">
        <w:rPr>
          <w:i/>
          <w:iCs/>
          <w:lang w:val="en-GB" w:eastAsia="ja-JP"/>
        </w:rPr>
        <w:t>timeDurationForQCL</w:t>
      </w:r>
      <w:proofErr w:type="spellEnd"/>
      <w:r w:rsidR="00FB427A">
        <w:rPr>
          <w:lang w:val="en-GB" w:eastAsia="ja-JP"/>
        </w:rPr>
        <w:t xml:space="preserve"> then the</w:t>
      </w:r>
      <w:r w:rsidR="0059436D">
        <w:rPr>
          <w:lang w:val="en-GB" w:eastAsia="ja-JP"/>
        </w:rPr>
        <w:t xml:space="preserve"> beam (TCI state) indicated by DCI is </w:t>
      </w:r>
      <w:r w:rsidR="00FB427A">
        <w:rPr>
          <w:lang w:val="en-GB" w:eastAsia="ja-JP"/>
        </w:rPr>
        <w:t>applied for all slots</w:t>
      </w:r>
      <w:r w:rsidR="0059436D">
        <w:rPr>
          <w:lang w:val="en-GB" w:eastAsia="ja-JP"/>
        </w:rPr>
        <w:t>. Furthermore, the gNB is restricted from activating new TCI states by MAC-CE during the time span of the multi-slot PDSCH</w:t>
      </w:r>
      <w:r w:rsidR="00FB427A">
        <w:rPr>
          <w:lang w:val="en-GB" w:eastAsia="ja-JP"/>
        </w:rPr>
        <w:t xml:space="preserve">. </w:t>
      </w:r>
    </w:p>
    <w:p w14:paraId="7AEFB075" w14:textId="21FEFDAB" w:rsidR="000A2476" w:rsidRDefault="00781BA8" w:rsidP="00DD3BEC">
      <w:pPr>
        <w:rPr>
          <w:rStyle w:val="Emphasis"/>
          <w:i w:val="0"/>
          <w:iCs w:val="0"/>
          <w:color w:val="000000" w:themeColor="text1"/>
          <w:lang w:eastAsia="zh-CN"/>
        </w:rPr>
      </w:pPr>
      <w:r>
        <w:rPr>
          <w:lang w:val="en-GB" w:eastAsia="ja-JP"/>
        </w:rPr>
        <w:t>In our understanding, the above excerpt from 38.214 is relevant only for Rel-15/16 TCI states</w:t>
      </w:r>
      <w:r w:rsidR="00ED23BB">
        <w:rPr>
          <w:lang w:val="en-GB" w:eastAsia="ja-JP"/>
        </w:rPr>
        <w:t xml:space="preserve"> (configured by the higher layer parameter </w:t>
      </w:r>
      <w:r w:rsidR="00ED23BB" w:rsidRPr="00ED23BB">
        <w:rPr>
          <w:rFonts w:ascii="Times New Roman" w:hAnsi="Times New Roman" w:cs="Times New Roman"/>
          <w:i/>
          <w:iCs/>
          <w:lang w:val="en-GB" w:eastAsia="ja-JP"/>
        </w:rPr>
        <w:t>TCI-State</w:t>
      </w:r>
      <w:r w:rsidR="00ED23BB">
        <w:rPr>
          <w:lang w:val="en-GB" w:eastAsia="ja-JP"/>
        </w:rPr>
        <w:t xml:space="preserve"> highlighted in </w:t>
      </w:r>
      <w:r w:rsidR="00ED23BB" w:rsidRPr="00ED23BB">
        <w:rPr>
          <w:highlight w:val="green"/>
          <w:lang w:val="en-GB" w:eastAsia="ja-JP"/>
        </w:rPr>
        <w:t>green</w:t>
      </w:r>
      <w:r w:rsidR="00ED23BB">
        <w:rPr>
          <w:lang w:val="en-GB" w:eastAsia="ja-JP"/>
        </w:rPr>
        <w:t>)</w:t>
      </w:r>
      <w:r>
        <w:rPr>
          <w:lang w:val="en-GB" w:eastAsia="ja-JP"/>
        </w:rPr>
        <w:t xml:space="preserve">, and does not apply for </w:t>
      </w:r>
      <w:r w:rsidR="0059436D">
        <w:rPr>
          <w:lang w:val="en-GB" w:eastAsia="ja-JP"/>
        </w:rPr>
        <w:t xml:space="preserve">Rel-17 </w:t>
      </w:r>
      <w:r w:rsidR="00FB427A">
        <w:rPr>
          <w:lang w:val="en-GB" w:eastAsia="ja-JP"/>
        </w:rPr>
        <w:t xml:space="preserve">unified TCI, </w:t>
      </w:r>
      <w:proofErr w:type="gramStart"/>
      <w:r w:rsidR="00FB427A">
        <w:rPr>
          <w:lang w:val="en-GB" w:eastAsia="ja-JP"/>
        </w:rPr>
        <w:t>i.e.</w:t>
      </w:r>
      <w:proofErr w:type="gramEnd"/>
      <w:r w:rsidR="00FB427A">
        <w:rPr>
          <w:lang w:val="en-GB" w:eastAsia="ja-JP"/>
        </w:rPr>
        <w:t xml:space="preserve"> if </w:t>
      </w:r>
      <w:proofErr w:type="spellStart"/>
      <w:r w:rsidR="00FB427A" w:rsidRPr="00ED23BB">
        <w:rPr>
          <w:rStyle w:val="Emphasis"/>
          <w:rFonts w:ascii="Times New Roman" w:hAnsi="Times New Roman" w:cs="Times New Roman"/>
          <w:color w:val="000000" w:themeColor="text1"/>
          <w:lang w:eastAsia="zh-CN"/>
        </w:rPr>
        <w:t>DLorJoint-TCIState</w:t>
      </w:r>
      <w:proofErr w:type="spellEnd"/>
      <w:r w:rsidR="00FB427A" w:rsidRPr="00E51918">
        <w:rPr>
          <w:rStyle w:val="Emphasis"/>
          <w:color w:val="000000" w:themeColor="text1"/>
          <w:lang w:eastAsia="zh-CN"/>
        </w:rPr>
        <w:t xml:space="preserve"> </w:t>
      </w:r>
      <w:r w:rsidR="00FB427A">
        <w:rPr>
          <w:rStyle w:val="Emphasis"/>
          <w:i w:val="0"/>
          <w:iCs w:val="0"/>
          <w:color w:val="000000" w:themeColor="text1"/>
          <w:lang w:eastAsia="zh-CN"/>
        </w:rPr>
        <w:t>is configured.</w:t>
      </w:r>
      <w:r w:rsidR="004A7641">
        <w:rPr>
          <w:rStyle w:val="Emphasis"/>
          <w:i w:val="0"/>
          <w:iCs w:val="0"/>
          <w:color w:val="000000" w:themeColor="text1"/>
          <w:lang w:eastAsia="zh-CN"/>
        </w:rPr>
        <w:t xml:space="preserve"> It can be further discussed if a TP is needed for the above excerpt of 38.214 to clarify this.</w:t>
      </w:r>
    </w:p>
    <w:p w14:paraId="0B9B6FC4" w14:textId="39BB40AC" w:rsidR="004A7641" w:rsidRDefault="004A7641" w:rsidP="00DD3BEC">
      <w:pPr>
        <w:rPr>
          <w:lang w:val="en-GB" w:eastAsia="ja-JP"/>
        </w:rPr>
      </w:pPr>
      <w:r>
        <w:rPr>
          <w:rStyle w:val="Emphasis"/>
          <w:i w:val="0"/>
          <w:iCs w:val="0"/>
          <w:color w:val="000000" w:themeColor="text1"/>
          <w:lang w:eastAsia="zh-CN"/>
        </w:rPr>
        <w:t>Based on this discussion, we propose the following:</w:t>
      </w:r>
    </w:p>
    <w:p w14:paraId="266D9D83" w14:textId="3DC68D5E" w:rsidR="005E5D3C" w:rsidRDefault="004A7641" w:rsidP="005E5D3C">
      <w:pPr>
        <w:pStyle w:val="Proposal"/>
        <w:rPr>
          <w:lang w:val="en-GB" w:eastAsia="ja-JP"/>
        </w:rPr>
      </w:pPr>
      <w:bookmarkStart w:id="12" w:name="_Hlk101627871"/>
      <w:bookmarkStart w:id="13" w:name="_Toc101783071"/>
      <w:r>
        <w:rPr>
          <w:lang w:val="en-GB" w:eastAsia="ja-JP"/>
        </w:rPr>
        <w:t>For Rel-17 unified TCI, d</w:t>
      </w:r>
      <w:r w:rsidR="000D56EA">
        <w:rPr>
          <w:lang w:val="en-GB" w:eastAsia="ja-JP"/>
        </w:rPr>
        <w:t>o not introduce any exception for the a</w:t>
      </w:r>
      <w:r w:rsidR="00C12B2A">
        <w:rPr>
          <w:lang w:val="en-GB" w:eastAsia="ja-JP"/>
        </w:rPr>
        <w:t>pplication</w:t>
      </w:r>
      <w:r w:rsidR="000D56EA">
        <w:rPr>
          <w:lang w:val="en-GB" w:eastAsia="ja-JP"/>
        </w:rPr>
        <w:t xml:space="preserve"> time for the indicated TCI.</w:t>
      </w:r>
      <w:r>
        <w:rPr>
          <w:lang w:val="en-GB" w:eastAsia="ja-JP"/>
        </w:rPr>
        <w:t xml:space="preserve"> This means that for multi-slot PDSCH</w:t>
      </w:r>
      <w:r w:rsidR="00E067DB">
        <w:rPr>
          <w:lang w:val="en-GB" w:eastAsia="ja-JP"/>
        </w:rPr>
        <w:t xml:space="preserve">, </w:t>
      </w:r>
      <w:r>
        <w:rPr>
          <w:lang w:val="en-GB" w:eastAsia="ja-JP"/>
        </w:rPr>
        <w:t>a beam update is allowed during the time span of the multiple slots. Further discuss if a TP is needed to clarify this in 38.214 Section 5.1.5.</w:t>
      </w:r>
      <w:bookmarkEnd w:id="13"/>
    </w:p>
    <w:bookmarkEnd w:id="12"/>
    <w:p w14:paraId="38BDB79D" w14:textId="3D1BAE86" w:rsidR="001F1BCC" w:rsidRDefault="00E402AC" w:rsidP="001F1BCC">
      <w:pPr>
        <w:pStyle w:val="Heading3"/>
      </w:pPr>
      <w:r>
        <w:t>2.7</w:t>
      </w:r>
      <w:r>
        <w:tab/>
      </w:r>
      <w:r w:rsidR="00416B41">
        <w:t>Alignment between 38.214 and 38.331</w:t>
      </w:r>
    </w:p>
    <w:p w14:paraId="190FD8AD" w14:textId="6FFD9849" w:rsidR="00F60882" w:rsidRDefault="00F60882" w:rsidP="00F60882">
      <w:pPr>
        <w:rPr>
          <w:lang w:val="en-GB" w:eastAsia="ja-JP"/>
        </w:rPr>
      </w:pPr>
      <w:r>
        <w:rPr>
          <w:lang w:val="en-GB" w:eastAsia="ja-JP"/>
        </w:rPr>
        <w:t>RAN1 has introduced a new reporting quantity</w:t>
      </w:r>
      <w:r w:rsidR="001F64B8">
        <w:rPr>
          <w:lang w:val="en-GB" w:eastAsia="ja-JP"/>
        </w:rPr>
        <w:t xml:space="preserve">, which makes it possible for the UE to report </w:t>
      </w:r>
      <w:r w:rsidR="006A656B">
        <w:rPr>
          <w:lang w:val="en-GB" w:eastAsia="ja-JP"/>
        </w:rPr>
        <w:t>the maximum number of SRS ports it supports for an UL transmission. This is mentioned in 38.214 in a few places</w:t>
      </w:r>
      <w:r w:rsidR="00E13D2D">
        <w:rPr>
          <w:lang w:val="en-GB" w:eastAsia="ja-JP"/>
        </w:rPr>
        <w:t>, for example</w:t>
      </w:r>
    </w:p>
    <w:p w14:paraId="6E4E9069" w14:textId="197F40EF" w:rsidR="00AD22E0" w:rsidRDefault="00AD22E0" w:rsidP="00AD22E0">
      <w:pPr>
        <w:pBdr>
          <w:top w:val="single" w:sz="4" w:space="1" w:color="auto"/>
          <w:left w:val="single" w:sz="4" w:space="4" w:color="auto"/>
          <w:bottom w:val="single" w:sz="4" w:space="1" w:color="auto"/>
          <w:right w:val="single" w:sz="4" w:space="4" w:color="auto"/>
        </w:pBdr>
        <w:rPr>
          <w:rFonts w:eastAsia="MS Mincho"/>
          <w:bCs/>
          <w:lang w:eastAsia="ja-JP"/>
        </w:rPr>
      </w:pPr>
      <w:r>
        <w:rPr>
          <w:rFonts w:eastAsia="MS Mincho"/>
          <w:bCs/>
          <w:lang w:eastAsia="ja-JP"/>
        </w:rPr>
        <w:t xml:space="preserve">Excerpt from 38.214, Clause </w:t>
      </w:r>
      <w:r w:rsidR="00416B41" w:rsidRPr="00416B41">
        <w:rPr>
          <w:rFonts w:eastAsia="MS Mincho"/>
          <w:bCs/>
          <w:lang w:eastAsia="ja-JP"/>
        </w:rPr>
        <w:t>5.2.1.4.4</w:t>
      </w:r>
    </w:p>
    <w:p w14:paraId="0CC6F5E0" w14:textId="751629CD" w:rsidR="00AD22E0" w:rsidRPr="0097186C" w:rsidRDefault="00AD22E0" w:rsidP="00AD22E0">
      <w:pPr>
        <w:pBdr>
          <w:top w:val="single" w:sz="4" w:space="1" w:color="auto"/>
          <w:left w:val="single" w:sz="4" w:space="4" w:color="auto"/>
          <w:bottom w:val="single" w:sz="4" w:space="1" w:color="auto"/>
          <w:right w:val="single" w:sz="4" w:space="4" w:color="auto"/>
        </w:pBdr>
      </w:pPr>
      <w:r>
        <w:rPr>
          <w:rFonts w:eastAsia="MS Mincho"/>
          <w:bCs/>
          <w:lang w:eastAsia="ja-JP"/>
        </w:rPr>
        <w:t xml:space="preserve">When the UE is configured with </w:t>
      </w:r>
      <w:r w:rsidRPr="003E5848">
        <w:rPr>
          <w:color w:val="000000" w:themeColor="text1"/>
        </w:rPr>
        <w:t xml:space="preserve">a </w:t>
      </w:r>
      <w:r w:rsidRPr="003E5848">
        <w:rPr>
          <w:i/>
          <w:iCs/>
          <w:color w:val="000000" w:themeColor="text1"/>
        </w:rPr>
        <w:t>CSI-</w:t>
      </w:r>
      <w:proofErr w:type="spellStart"/>
      <w:r w:rsidRPr="003E5848">
        <w:rPr>
          <w:i/>
          <w:iCs/>
          <w:color w:val="000000" w:themeColor="text1"/>
        </w:rPr>
        <w:t>ReportConfig</w:t>
      </w:r>
      <w:proofErr w:type="spellEnd"/>
      <w:r w:rsidRPr="003E5848">
        <w:rPr>
          <w:color w:val="000000" w:themeColor="text1"/>
        </w:rPr>
        <w:t xml:space="preserve"> with the higher layer parameter </w:t>
      </w:r>
      <w:proofErr w:type="spellStart"/>
      <w:r w:rsidRPr="003E5848">
        <w:rPr>
          <w:i/>
          <w:iCs/>
          <w:color w:val="000000" w:themeColor="text1"/>
        </w:rPr>
        <w:t>reportQuantity</w:t>
      </w:r>
      <w:proofErr w:type="spellEnd"/>
      <w:r w:rsidRPr="003E5848">
        <w:rPr>
          <w:color w:val="000000" w:themeColor="text1"/>
        </w:rPr>
        <w:t xml:space="preserve"> set to ' cri-RSRP-</w:t>
      </w:r>
      <w:proofErr w:type="gramStart"/>
      <w:r w:rsidRPr="003E5848">
        <w:rPr>
          <w:color w:val="000000" w:themeColor="text1"/>
        </w:rPr>
        <w:t>Capability[</w:t>
      </w:r>
      <w:proofErr w:type="gramEnd"/>
      <w:r w:rsidRPr="003E5848">
        <w:rPr>
          <w:color w:val="000000" w:themeColor="text1"/>
        </w:rPr>
        <w:t>Set]Index' or '</w:t>
      </w:r>
      <w:proofErr w:type="spellStart"/>
      <w:r w:rsidRPr="003E5848">
        <w:rPr>
          <w:color w:val="000000" w:themeColor="text1"/>
        </w:rPr>
        <w:t>ssb</w:t>
      </w:r>
      <w:proofErr w:type="spellEnd"/>
      <w:r w:rsidRPr="003E5848">
        <w:rPr>
          <w:color w:val="000000" w:themeColor="text1"/>
        </w:rPr>
        <w:t>-Index-RSRP-Capability[Set]Index'</w:t>
      </w:r>
      <w:r>
        <w:rPr>
          <w:rFonts w:eastAsia="MS Mincho"/>
          <w:bCs/>
          <w:lang w:eastAsia="ja-JP"/>
        </w:rPr>
        <w:t xml:space="preserve"> </w:t>
      </w:r>
      <w:r>
        <w:rPr>
          <w:rFonts w:cs="Times"/>
        </w:rPr>
        <w:t>an</w:t>
      </w:r>
      <w:r w:rsidRPr="00E328E8">
        <w:rPr>
          <w:rFonts w:cs="Times"/>
        </w:rPr>
        <w:t xml:space="preserve"> index of UE capability value set</w:t>
      </w:r>
      <w:r>
        <w:rPr>
          <w:rFonts w:cs="Times"/>
        </w:rPr>
        <w:t>,</w:t>
      </w:r>
      <w:r w:rsidRPr="00E328E8">
        <w:rPr>
          <w:rFonts w:cs="Times"/>
        </w:rPr>
        <w:t xml:space="preserve"> </w:t>
      </w:r>
      <w:r>
        <w:rPr>
          <w:rFonts w:cs="Times"/>
        </w:rPr>
        <w:t xml:space="preserve">indicating the maximum supported number of SRS antenna ports, </w:t>
      </w:r>
      <w:r w:rsidRPr="00E328E8">
        <w:rPr>
          <w:rFonts w:cs="Times"/>
        </w:rPr>
        <w:t>is reported along with the pair of SSBRI/CRI and L1-RSRP</w:t>
      </w:r>
      <w:r>
        <w:rPr>
          <w:rFonts w:cs="Times"/>
        </w:rPr>
        <w:t xml:space="preserve">. </w:t>
      </w:r>
    </w:p>
    <w:p w14:paraId="6EC8147D" w14:textId="5EA9AFF9" w:rsidR="00AD22E0" w:rsidRDefault="00D66241" w:rsidP="00F60882">
      <w:pPr>
        <w:rPr>
          <w:lang w:val="en-GB" w:eastAsia="ja-JP"/>
        </w:rPr>
      </w:pPr>
      <w:r>
        <w:rPr>
          <w:lang w:val="en-GB" w:eastAsia="ja-JP"/>
        </w:rPr>
        <w:t>We propose to align the terminology with 38.331:</w:t>
      </w:r>
    </w:p>
    <w:p w14:paraId="260E92EB" w14:textId="77777777" w:rsidR="009562AA" w:rsidRPr="00740BCD" w:rsidRDefault="009562AA" w:rsidP="009562AA">
      <w:pPr>
        <w:pStyle w:val="PL"/>
      </w:pPr>
      <w:r w:rsidRPr="00740BCD">
        <w:t xml:space="preserve">    reportQuantity-r17                  </w:t>
      </w:r>
      <w:r w:rsidRPr="00740BCD">
        <w:rPr>
          <w:color w:val="993366"/>
        </w:rPr>
        <w:t>CHOICE</w:t>
      </w:r>
      <w:r w:rsidRPr="00740BCD">
        <w:t xml:space="preserve"> {</w:t>
      </w:r>
    </w:p>
    <w:p w14:paraId="182703FC" w14:textId="77777777" w:rsidR="009562AA" w:rsidRPr="00740BCD" w:rsidRDefault="009562AA" w:rsidP="009562AA">
      <w:pPr>
        <w:pStyle w:val="PL"/>
      </w:pPr>
      <w:r w:rsidRPr="00740BCD">
        <w:t xml:space="preserve">        cri-RSRP-Index-r17        </w:t>
      </w:r>
      <w:r w:rsidRPr="00740BCD">
        <w:rPr>
          <w:color w:val="993366"/>
        </w:rPr>
        <w:t>NULL</w:t>
      </w:r>
      <w:r w:rsidRPr="00740BCD">
        <w:t>,</w:t>
      </w:r>
    </w:p>
    <w:p w14:paraId="2BD0A062" w14:textId="77777777" w:rsidR="009562AA" w:rsidRPr="00740BCD" w:rsidRDefault="009562AA" w:rsidP="009562AA">
      <w:pPr>
        <w:pStyle w:val="PL"/>
      </w:pPr>
      <w:r w:rsidRPr="00740BCD">
        <w:t xml:space="preserve">        ssb-Index-RSRP-Index-r17  </w:t>
      </w:r>
      <w:r w:rsidRPr="00740BCD">
        <w:rPr>
          <w:color w:val="993366"/>
        </w:rPr>
        <w:t>NULL</w:t>
      </w:r>
      <w:r w:rsidRPr="00740BCD">
        <w:t>,</w:t>
      </w:r>
    </w:p>
    <w:p w14:paraId="7DA58E2A" w14:textId="77777777" w:rsidR="009562AA" w:rsidRPr="00740BCD" w:rsidRDefault="009562AA" w:rsidP="009562AA">
      <w:pPr>
        <w:pStyle w:val="PL"/>
      </w:pPr>
      <w:r w:rsidRPr="00740BCD">
        <w:lastRenderedPageBreak/>
        <w:t xml:space="preserve">        cri-SINR-Index-r17       </w:t>
      </w:r>
      <w:r w:rsidRPr="00740BCD">
        <w:rPr>
          <w:color w:val="993366"/>
        </w:rPr>
        <w:t>NULL</w:t>
      </w:r>
      <w:r w:rsidRPr="00740BCD">
        <w:t>,</w:t>
      </w:r>
    </w:p>
    <w:p w14:paraId="534BD4CC" w14:textId="77777777" w:rsidR="009562AA" w:rsidRPr="00740BCD" w:rsidRDefault="009562AA" w:rsidP="009562AA">
      <w:pPr>
        <w:pStyle w:val="PL"/>
      </w:pPr>
      <w:r w:rsidRPr="00740BCD">
        <w:t xml:space="preserve">        ssb-Index-SINR-Index-r17  </w:t>
      </w:r>
      <w:r w:rsidRPr="00740BCD">
        <w:rPr>
          <w:color w:val="993366"/>
        </w:rPr>
        <w:t>NULL</w:t>
      </w:r>
    </w:p>
    <w:p w14:paraId="2ED0C218" w14:textId="426DD971" w:rsidR="00D66241" w:rsidRDefault="00D66241" w:rsidP="00F60882">
      <w:pPr>
        <w:rPr>
          <w:lang w:val="en-GB" w:eastAsia="ja-JP"/>
        </w:rPr>
      </w:pPr>
    </w:p>
    <w:p w14:paraId="0B3BAE27" w14:textId="569CA1DE" w:rsidR="00E30B3D" w:rsidRPr="006F0E73" w:rsidRDefault="00E30B3D" w:rsidP="00F60882">
      <w:pPr>
        <w:rPr>
          <w:lang w:val="en-GB" w:eastAsia="ja-JP"/>
        </w:rPr>
      </w:pPr>
      <w:r>
        <w:rPr>
          <w:lang w:val="en-GB" w:eastAsia="ja-JP"/>
        </w:rPr>
        <w:t>Essentially, “</w:t>
      </w:r>
      <w:proofErr w:type="gramStart"/>
      <w:r w:rsidRPr="003E5848">
        <w:rPr>
          <w:color w:val="000000" w:themeColor="text1"/>
        </w:rPr>
        <w:t>Capability[</w:t>
      </w:r>
      <w:proofErr w:type="gramEnd"/>
      <w:r w:rsidRPr="003E5848">
        <w:rPr>
          <w:color w:val="000000" w:themeColor="text1"/>
        </w:rPr>
        <w:t>Set]Index</w:t>
      </w:r>
      <w:r>
        <w:rPr>
          <w:color w:val="000000" w:themeColor="text1"/>
        </w:rPr>
        <w:t xml:space="preserve">” should be changed to “Index”. </w:t>
      </w:r>
      <w:r w:rsidR="006F0E73">
        <w:rPr>
          <w:color w:val="000000" w:themeColor="text1"/>
        </w:rPr>
        <w:t xml:space="preserve">We also propose to use </w:t>
      </w:r>
      <w:r w:rsidR="006F0E73" w:rsidRPr="003E5848">
        <w:rPr>
          <w:i/>
          <w:iCs/>
          <w:color w:val="000000" w:themeColor="text1"/>
        </w:rPr>
        <w:t>reportQuantity</w:t>
      </w:r>
      <w:r w:rsidR="006F0E73">
        <w:rPr>
          <w:i/>
          <w:iCs/>
          <w:color w:val="000000" w:themeColor="text1"/>
        </w:rPr>
        <w:t xml:space="preserve">-r17, </w:t>
      </w:r>
      <w:r w:rsidR="006F0E73">
        <w:rPr>
          <w:color w:val="000000" w:themeColor="text1"/>
        </w:rPr>
        <w:t>to avoid confusion with the Rel-15 parameter.</w:t>
      </w:r>
    </w:p>
    <w:p w14:paraId="37EB5693" w14:textId="2D8A7DD6" w:rsidR="00C01F33" w:rsidRPr="00CE0424" w:rsidRDefault="00C01F33" w:rsidP="00CE0424">
      <w:pPr>
        <w:pStyle w:val="Heading1"/>
      </w:pPr>
      <w:bookmarkStart w:id="14" w:name="_Hlk61857909"/>
      <w:r w:rsidRPr="00CE0424">
        <w:t>Conclusion</w:t>
      </w:r>
    </w:p>
    <w:bookmarkEnd w:id="14"/>
    <w:p w14:paraId="6225A1B8" w14:textId="5F9865DA" w:rsidR="006E1C82" w:rsidRPr="006619DC" w:rsidRDefault="008E065E" w:rsidP="000E0F2D">
      <w:pPr>
        <w:pStyle w:val="BodyText"/>
        <w:rPr>
          <w:b/>
        </w:rPr>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6D116974" w14:textId="044EC5C5" w:rsidR="000B2CE4"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Pr>
          <w:bCs/>
        </w:rPr>
        <w:fldChar w:fldCharType="begin"/>
      </w:r>
      <w:r>
        <w:rPr>
          <w:bCs/>
        </w:rPr>
        <w:instrText xml:space="preserve"> TOC \n \h \z \t "Proposal" \c </w:instrText>
      </w:r>
      <w:r>
        <w:rPr>
          <w:bCs/>
        </w:rPr>
        <w:fldChar w:fldCharType="separate"/>
      </w:r>
      <w:hyperlink w:anchor="_Toc101783064" w:history="1">
        <w:r w:rsidR="000B2CE4" w:rsidRPr="00B7220B">
          <w:rPr>
            <w:rStyle w:val="Hyperlink"/>
            <w:noProof/>
          </w:rPr>
          <w:t>Proposal 1</w:t>
        </w:r>
        <w:r w:rsidR="000B2CE4">
          <w:rPr>
            <w:rFonts w:asciiTheme="minorHAnsi" w:eastAsiaTheme="minorEastAsia" w:hAnsiTheme="minorHAnsi" w:cstheme="minorBidi"/>
            <w:b w:val="0"/>
            <w:noProof/>
            <w:sz w:val="22"/>
            <w:szCs w:val="22"/>
            <w:lang w:val="en-SE" w:eastAsia="en-SE"/>
          </w:rPr>
          <w:tab/>
        </w:r>
        <w:r w:rsidR="000B2CE4" w:rsidRPr="00B7220B">
          <w:rPr>
            <w:rStyle w:val="Hyperlink"/>
            <w:noProof/>
          </w:rPr>
          <w:t>The maximum number of pathloss RSs for unified TCI is 64.</w:t>
        </w:r>
      </w:hyperlink>
    </w:p>
    <w:p w14:paraId="500774FC" w14:textId="40B20A5A" w:rsidR="000B2CE4" w:rsidRDefault="000B2CE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3065" w:history="1">
        <w:r w:rsidRPr="00B7220B">
          <w:rPr>
            <w:rStyle w:val="Hyperlink"/>
            <w:noProof/>
            <w:lang w:val="en-GB" w:eastAsia="ja-JP"/>
          </w:rPr>
          <w:t>Proposal 2</w:t>
        </w:r>
        <w:r>
          <w:rPr>
            <w:rFonts w:asciiTheme="minorHAnsi" w:eastAsiaTheme="minorEastAsia" w:hAnsiTheme="minorHAnsi" w:cstheme="minorBidi"/>
            <w:b w:val="0"/>
            <w:noProof/>
            <w:sz w:val="22"/>
            <w:szCs w:val="22"/>
            <w:lang w:val="en-SE" w:eastAsia="en-SE"/>
          </w:rPr>
          <w:tab/>
        </w:r>
        <w:r w:rsidRPr="00B7220B">
          <w:rPr>
            <w:rStyle w:val="Hyperlink"/>
            <w:noProof/>
          </w:rPr>
          <w:t>When the NW configures Uplink-powerControl-r17, the corresponding power control parameters should not be provided in PUCCH-PowerControl, PUSCH-PowerControl or SRS-Config.</w:t>
        </w:r>
      </w:hyperlink>
    </w:p>
    <w:p w14:paraId="491FCC7A" w14:textId="0EBF5BA9" w:rsidR="000B2CE4" w:rsidRDefault="000B2CE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3066" w:history="1">
        <w:r w:rsidRPr="00B7220B">
          <w:rPr>
            <w:rStyle w:val="Hyperlink"/>
            <w:noProof/>
            <w:lang w:val="en-GB" w:eastAsia="ja-JP"/>
          </w:rPr>
          <w:t>Proposal 3</w:t>
        </w:r>
        <w:r>
          <w:rPr>
            <w:rFonts w:asciiTheme="minorHAnsi" w:eastAsiaTheme="minorEastAsia" w:hAnsiTheme="minorHAnsi" w:cstheme="minorBidi"/>
            <w:b w:val="0"/>
            <w:noProof/>
            <w:sz w:val="22"/>
            <w:szCs w:val="22"/>
            <w:lang w:val="en-SE" w:eastAsia="en-SE"/>
          </w:rPr>
          <w:tab/>
        </w:r>
        <w:r w:rsidRPr="00B7220B">
          <w:rPr>
            <w:rStyle w:val="Hyperlink"/>
            <w:noProof/>
          </w:rPr>
          <w:t>An explicit PCI, or AdditionalPCIIndex-r17, is needed for the MPE resource configuration.</w:t>
        </w:r>
      </w:hyperlink>
    </w:p>
    <w:p w14:paraId="63F4317F" w14:textId="5F0A5E41" w:rsidR="000B2CE4" w:rsidRDefault="000B2CE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3067" w:history="1">
        <w:r w:rsidRPr="00B7220B">
          <w:rPr>
            <w:rStyle w:val="Hyperlink"/>
            <w:noProof/>
            <w:lang w:val="en-GB" w:eastAsia="ja-JP"/>
          </w:rPr>
          <w:t>Proposal 4</w:t>
        </w:r>
        <w:r>
          <w:rPr>
            <w:rFonts w:asciiTheme="minorHAnsi" w:eastAsiaTheme="minorEastAsia" w:hAnsiTheme="minorHAnsi" w:cstheme="minorBidi"/>
            <w:b w:val="0"/>
            <w:noProof/>
            <w:sz w:val="22"/>
            <w:szCs w:val="22"/>
            <w:lang w:val="en-SE" w:eastAsia="en-SE"/>
          </w:rPr>
          <w:tab/>
        </w:r>
        <w:r w:rsidRPr="00B7220B">
          <w:rPr>
            <w:rStyle w:val="Hyperlink"/>
            <w:noProof/>
            <w:lang w:val="en-GB" w:eastAsia="ja-JP"/>
          </w:rPr>
          <w:t xml:space="preserve">Clarify that the UE may determine the set </w:t>
        </w:r>
        <m:oMath>
          <m:r>
            <m:rPr>
              <m:sty m:val="bi"/>
            </m:rPr>
            <w:rPr>
              <w:rStyle w:val="Hyperlink"/>
              <w:rFonts w:ascii="Cambria Math" w:hAnsi="Cambria Math"/>
              <w:noProof/>
            </w:rPr>
            <m:t>q</m:t>
          </m:r>
          <m:r>
            <m:rPr>
              <m:sty m:val="bi"/>
            </m:rPr>
            <w:rPr>
              <w:rStyle w:val="Hyperlink"/>
              <w:rFonts w:ascii="Cambria Math" w:hAnsi="Cambria Math"/>
              <w:noProof/>
            </w:rPr>
            <m:t xml:space="preserve">0 </m:t>
          </m:r>
        </m:oMath>
        <w:r w:rsidRPr="00B7220B">
          <w:rPr>
            <w:rStyle w:val="Hyperlink"/>
            <w:noProof/>
          </w:rPr>
          <w:t xml:space="preserve">from a </w:t>
        </w:r>
        <w:r w:rsidRPr="00B7220B">
          <w:rPr>
            <w:rStyle w:val="Hyperlink"/>
            <w:i/>
            <w:iCs/>
            <w:noProof/>
            <w:lang w:val="en-GB" w:eastAsia="ja-JP"/>
          </w:rPr>
          <w:t xml:space="preserve">DLorJointTCIState </w:t>
        </w:r>
        <w:r w:rsidRPr="00B7220B">
          <w:rPr>
            <w:rStyle w:val="Hyperlink"/>
            <w:noProof/>
            <w:lang w:val="en-GB" w:eastAsia="ja-JP"/>
          </w:rPr>
          <w:t>in addition to a TCI-State</w:t>
        </w:r>
        <w:r w:rsidRPr="00B7220B">
          <w:rPr>
            <w:rStyle w:val="Hyperlink"/>
            <w:i/>
            <w:iCs/>
            <w:noProof/>
            <w:lang w:val="en-GB" w:eastAsia="ja-JP"/>
          </w:rPr>
          <w:t>.</w:t>
        </w:r>
      </w:hyperlink>
    </w:p>
    <w:p w14:paraId="2A1BB26D" w14:textId="3A5D023B" w:rsidR="000B2CE4" w:rsidRDefault="000B2CE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3068" w:history="1">
        <w:r w:rsidRPr="00B7220B">
          <w:rPr>
            <w:rStyle w:val="Hyperlink"/>
            <w:noProof/>
            <w:lang w:val="en-GB" w:eastAsia="ja-JP"/>
          </w:rPr>
          <w:t>Proposal 5</w:t>
        </w:r>
        <w:r>
          <w:rPr>
            <w:rFonts w:asciiTheme="minorHAnsi" w:eastAsiaTheme="minorEastAsia" w:hAnsiTheme="minorHAnsi" w:cstheme="minorBidi"/>
            <w:b w:val="0"/>
            <w:noProof/>
            <w:sz w:val="22"/>
            <w:szCs w:val="22"/>
            <w:lang w:val="en-SE" w:eastAsia="en-SE"/>
          </w:rPr>
          <w:tab/>
        </w:r>
        <w:r w:rsidRPr="00B7220B">
          <w:rPr>
            <w:rStyle w:val="Hyperlink"/>
            <w:noProof/>
            <w:lang w:val="en-GB" w:eastAsia="ja-JP"/>
          </w:rPr>
          <w:t>If configured to do so, the UE always applies the currently indicated TCI state to PDSCH and aperiodic CSI-RS.</w:t>
        </w:r>
      </w:hyperlink>
    </w:p>
    <w:p w14:paraId="0398B88C" w14:textId="21DF7AB9" w:rsidR="000B2CE4" w:rsidRDefault="000B2CE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3069" w:history="1">
        <w:r w:rsidRPr="00B7220B">
          <w:rPr>
            <w:rStyle w:val="Hyperlink"/>
            <w:noProof/>
            <w:lang w:val="en-GB" w:eastAsia="ja-JP"/>
          </w:rPr>
          <w:t>Proposal 6</w:t>
        </w:r>
        <w:r>
          <w:rPr>
            <w:rFonts w:asciiTheme="minorHAnsi" w:eastAsiaTheme="minorEastAsia" w:hAnsiTheme="minorHAnsi" w:cstheme="minorBidi"/>
            <w:b w:val="0"/>
            <w:noProof/>
            <w:sz w:val="22"/>
            <w:szCs w:val="22"/>
            <w:lang w:val="en-SE" w:eastAsia="en-SE"/>
          </w:rPr>
          <w:tab/>
        </w:r>
        <w:r w:rsidRPr="00B7220B">
          <w:rPr>
            <w:rStyle w:val="Hyperlink"/>
            <w:noProof/>
            <w:lang w:val="en-GB" w:eastAsia="ja-JP"/>
          </w:rPr>
          <w:t>To calculate the Type 1 power headroom based on a reference PUSCH, the UE uses the pathloss reference signal associated with the activated TCI state.</w:t>
        </w:r>
      </w:hyperlink>
    </w:p>
    <w:p w14:paraId="14EC8823" w14:textId="14AEEE04" w:rsidR="000B2CE4" w:rsidRDefault="000B2CE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3070" w:history="1">
        <w:r w:rsidRPr="00B7220B">
          <w:rPr>
            <w:rStyle w:val="Hyperlink"/>
            <w:noProof/>
            <w:lang w:val="en-GB" w:eastAsia="ja-JP"/>
          </w:rPr>
          <w:t>Proposal 7</w:t>
        </w:r>
        <w:r>
          <w:rPr>
            <w:rFonts w:asciiTheme="minorHAnsi" w:eastAsiaTheme="minorEastAsia" w:hAnsiTheme="minorHAnsi" w:cstheme="minorBidi"/>
            <w:b w:val="0"/>
            <w:noProof/>
            <w:sz w:val="22"/>
            <w:szCs w:val="22"/>
            <w:lang w:val="en-SE" w:eastAsia="en-SE"/>
          </w:rPr>
          <w:tab/>
        </w:r>
        <w:r w:rsidRPr="00B7220B">
          <w:rPr>
            <w:rStyle w:val="Hyperlink"/>
            <w:noProof/>
            <w:lang w:val="en-GB" w:eastAsia="ja-JP"/>
          </w:rPr>
          <w:t>The UE should always rate match around the SSBs transmitted from the cell from which the UE receives the PDSCH.</w:t>
        </w:r>
      </w:hyperlink>
    </w:p>
    <w:p w14:paraId="512F5FCF" w14:textId="5F198216" w:rsidR="000B2CE4" w:rsidRDefault="000B2CE4">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01783071" w:history="1">
        <w:r w:rsidRPr="00B7220B">
          <w:rPr>
            <w:rStyle w:val="Hyperlink"/>
            <w:noProof/>
            <w:lang w:val="en-GB" w:eastAsia="ja-JP"/>
          </w:rPr>
          <w:t>Proposal 8</w:t>
        </w:r>
        <w:r>
          <w:rPr>
            <w:rFonts w:asciiTheme="minorHAnsi" w:eastAsiaTheme="minorEastAsia" w:hAnsiTheme="minorHAnsi" w:cstheme="minorBidi"/>
            <w:b w:val="0"/>
            <w:noProof/>
            <w:sz w:val="22"/>
            <w:szCs w:val="22"/>
            <w:lang w:val="en-SE" w:eastAsia="en-SE"/>
          </w:rPr>
          <w:tab/>
        </w:r>
        <w:r w:rsidRPr="00B7220B">
          <w:rPr>
            <w:rStyle w:val="Hyperlink"/>
            <w:noProof/>
            <w:lang w:val="en-GB" w:eastAsia="ja-JP"/>
          </w:rPr>
          <w:t>For Rel-17 unified TCI, do not introduce any exception for the application time for the indicated TCI. This means that for multi-slot PDSCH, a beam update is allowed during the time span of the multiple slots. Further discuss if a TP is needed to clarify this in 38.214 Section 5.1.5.</w:t>
        </w:r>
      </w:hyperlink>
    </w:p>
    <w:p w14:paraId="58ACA235" w14:textId="217B71C6" w:rsidR="00C01F33" w:rsidRPr="00447829" w:rsidRDefault="006E1C82" w:rsidP="000E0F2D">
      <w:pPr>
        <w:pStyle w:val="BodyText"/>
      </w:pPr>
      <w:r>
        <w:fldChar w:fldCharType="end"/>
      </w:r>
    </w:p>
    <w:p w14:paraId="71D79D99" w14:textId="77777777" w:rsidR="00F507D1" w:rsidRPr="00CE0424" w:rsidRDefault="00F507D1" w:rsidP="00CE0424">
      <w:pPr>
        <w:pStyle w:val="Heading1"/>
      </w:pPr>
      <w:bookmarkStart w:id="15" w:name="_In-sequence_SDU_delivery"/>
      <w:bookmarkEnd w:id="15"/>
      <w:r w:rsidRPr="00CE0424">
        <w:t>References</w:t>
      </w:r>
    </w:p>
    <w:p w14:paraId="666FA4A0" w14:textId="78414464" w:rsidR="00B54DD6" w:rsidRPr="00B25BEA" w:rsidRDefault="00B54DD6" w:rsidP="000E0F2D">
      <w:pPr>
        <w:pStyle w:val="Reference"/>
      </w:pPr>
      <w:bookmarkStart w:id="16" w:name="_Ref31185007"/>
      <w:bookmarkStart w:id="17" w:name="_Ref174151459"/>
      <w:bookmarkStart w:id="18" w:name="_Ref189809556"/>
      <w:r w:rsidRPr="00B25BEA">
        <w:t>RP-</w:t>
      </w:r>
      <w:r w:rsidR="006E062B">
        <w:t>211586</w:t>
      </w:r>
      <w:r w:rsidRPr="00B25BEA">
        <w:t xml:space="preserve">, </w:t>
      </w:r>
      <w:r w:rsidR="006E062B">
        <w:t>Revised</w:t>
      </w:r>
      <w:r w:rsidRPr="00B25BEA">
        <w:t xml:space="preserve"> WID: Further enhancements on MIMO for NR, Samsung, RAN#</w:t>
      </w:r>
      <w:r w:rsidR="006E062B">
        <w:t>92e</w:t>
      </w:r>
      <w:r w:rsidRPr="00B25BEA">
        <w:t xml:space="preserve">, </w:t>
      </w:r>
      <w:r w:rsidR="006E062B">
        <w:t>June 2021</w:t>
      </w:r>
      <w:bookmarkEnd w:id="16"/>
      <w:r w:rsidRPr="00B25BEA">
        <w:t xml:space="preserve"> </w:t>
      </w:r>
    </w:p>
    <w:p w14:paraId="18C400C1" w14:textId="55D54450" w:rsidR="00F1314A" w:rsidRDefault="00F1314A" w:rsidP="00BA6FF3">
      <w:pPr>
        <w:pStyle w:val="Reference"/>
      </w:pPr>
      <w:bookmarkStart w:id="19" w:name="_Ref83548941"/>
      <w:bookmarkStart w:id="20" w:name="_Ref53994573"/>
      <w:r>
        <w:t>3GPP TS 38.21</w:t>
      </w:r>
      <w:r w:rsidR="0016339F">
        <w:t>3</w:t>
      </w:r>
      <w:r>
        <w:t xml:space="preserve"> V1</w:t>
      </w:r>
      <w:r w:rsidR="0016339F">
        <w:t>7</w:t>
      </w:r>
      <w:r>
        <w:t>.</w:t>
      </w:r>
      <w:r w:rsidR="0016339F">
        <w:t>1</w:t>
      </w:r>
      <w:r>
        <w:t xml:space="preserve">.0, </w:t>
      </w:r>
      <w:r w:rsidR="00462759">
        <w:t>NR; Physical layer procedures for control</w:t>
      </w:r>
      <w:r>
        <w:t>, RAN#9</w:t>
      </w:r>
      <w:r w:rsidR="00E240A0">
        <w:t>5-</w:t>
      </w:r>
      <w:r>
        <w:t>e,</w:t>
      </w:r>
      <w:r w:rsidR="00E240A0">
        <w:t xml:space="preserve"> March</w:t>
      </w:r>
      <w:r>
        <w:t xml:space="preserve"> 202</w:t>
      </w:r>
      <w:bookmarkEnd w:id="19"/>
      <w:r w:rsidR="00E240A0">
        <w:t>2</w:t>
      </w:r>
    </w:p>
    <w:p w14:paraId="71AA947D" w14:textId="45BF351B" w:rsidR="00E240A0" w:rsidRDefault="00E240A0" w:rsidP="00E240A0">
      <w:pPr>
        <w:pStyle w:val="Reference"/>
      </w:pPr>
      <w:r>
        <w:t>3GPP TS 38.214 V17.1.0, NR; Physical layer procedures for data, RAN#95-e, March 2022</w:t>
      </w:r>
    </w:p>
    <w:bookmarkEnd w:id="20"/>
    <w:bookmarkEnd w:id="17"/>
    <w:bookmarkEnd w:id="18"/>
    <w:p w14:paraId="715CA09B" w14:textId="77777777" w:rsidR="003A7EF3" w:rsidRPr="00CE0424" w:rsidRDefault="003A7EF3" w:rsidP="000E0F2D">
      <w:pPr>
        <w:pStyle w:val="BodyText"/>
      </w:pPr>
    </w:p>
    <w:sectPr w:rsidR="003A7EF3" w:rsidRPr="00CE0424" w:rsidSect="000E584B">
      <w:headerReference w:type="even" r:id="rId11"/>
      <w:headerReference w:type="default"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55824F" w14:textId="77777777" w:rsidR="00A37811" w:rsidRDefault="00A37811">
      <w:r>
        <w:separator/>
      </w:r>
    </w:p>
  </w:endnote>
  <w:endnote w:type="continuationSeparator" w:id="0">
    <w:p w14:paraId="624030E1" w14:textId="77777777" w:rsidR="00A37811" w:rsidRDefault="00A37811">
      <w:r>
        <w:continuationSeparator/>
      </w:r>
    </w:p>
  </w:endnote>
  <w:endnote w:type="continuationNotice" w:id="1">
    <w:p w14:paraId="3CF3563B" w14:textId="77777777" w:rsidR="00A37811" w:rsidRDefault="00A378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A37811" w:rsidRDefault="00A3781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9F9014" w14:textId="77777777" w:rsidR="00A37811" w:rsidRDefault="00A37811">
      <w:r>
        <w:separator/>
      </w:r>
    </w:p>
  </w:footnote>
  <w:footnote w:type="continuationSeparator" w:id="0">
    <w:p w14:paraId="2D081251" w14:textId="77777777" w:rsidR="00A37811" w:rsidRDefault="00A37811">
      <w:r>
        <w:continuationSeparator/>
      </w:r>
    </w:p>
  </w:footnote>
  <w:footnote w:type="continuationNotice" w:id="1">
    <w:p w14:paraId="64D24A79" w14:textId="77777777" w:rsidR="00A37811" w:rsidRDefault="00A378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A37811" w:rsidRDefault="00A3781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210"/>
      <w:gridCol w:w="3210"/>
      <w:gridCol w:w="3210"/>
    </w:tblGrid>
    <w:tr w:rsidR="00A37811" w14:paraId="7B7F121C" w14:textId="77777777" w:rsidTr="5F58E1D7">
      <w:tc>
        <w:tcPr>
          <w:tcW w:w="3210" w:type="dxa"/>
        </w:tcPr>
        <w:p w14:paraId="4EC4B982" w14:textId="447AD149" w:rsidR="00A37811" w:rsidRDefault="00A37811" w:rsidP="5F58E1D7">
          <w:pPr>
            <w:pStyle w:val="Header"/>
            <w:ind w:left="-115"/>
          </w:pPr>
        </w:p>
      </w:tc>
      <w:tc>
        <w:tcPr>
          <w:tcW w:w="3210" w:type="dxa"/>
        </w:tcPr>
        <w:p w14:paraId="3C81753F" w14:textId="50E83E80" w:rsidR="00A37811" w:rsidRDefault="00A37811" w:rsidP="5F58E1D7">
          <w:pPr>
            <w:pStyle w:val="Header"/>
            <w:jc w:val="center"/>
          </w:pPr>
        </w:p>
      </w:tc>
      <w:tc>
        <w:tcPr>
          <w:tcW w:w="3210" w:type="dxa"/>
        </w:tcPr>
        <w:p w14:paraId="651B1CCE" w14:textId="2CB4BF90" w:rsidR="00A37811" w:rsidRDefault="00A37811" w:rsidP="5F58E1D7">
          <w:pPr>
            <w:pStyle w:val="Header"/>
            <w:ind w:right="-115"/>
            <w:jc w:val="right"/>
          </w:pPr>
        </w:p>
      </w:tc>
    </w:tr>
  </w:tbl>
  <w:p w14:paraId="0CEBBD1C" w14:textId="4F7E1E25" w:rsidR="00A37811" w:rsidRDefault="00A378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D1008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DEEC9A"/>
    <w:lvl w:ilvl="0">
      <w:start w:val="1"/>
      <w:numFmt w:val="decimal"/>
      <w:lvlText w:val="%1."/>
      <w:lvlJc w:val="left"/>
      <w:pPr>
        <w:tabs>
          <w:tab w:val="num" w:pos="1209"/>
        </w:tabs>
        <w:ind w:left="1209" w:hanging="360"/>
      </w:pPr>
    </w:lvl>
  </w:abstractNum>
  <w:abstractNum w:abstractNumId="2" w15:restartNumberingAfterBreak="0">
    <w:nsid w:val="FFFFFF7E"/>
    <w:multiLevelType w:val="hybridMultilevel"/>
    <w:tmpl w:val="8D74240A"/>
    <w:lvl w:ilvl="0" w:tplc="6F5CBD84">
      <w:start w:val="1"/>
      <w:numFmt w:val="lowerRoman"/>
      <w:pStyle w:val="ListNumber3"/>
      <w:lvlText w:val="%1."/>
      <w:lvlJc w:val="right"/>
      <w:pPr>
        <w:ind w:left="926" w:hanging="360"/>
      </w:pPr>
    </w:lvl>
    <w:lvl w:ilvl="1" w:tplc="2638B4E0">
      <w:numFmt w:val="decimal"/>
      <w:lvlText w:val=""/>
      <w:lvlJc w:val="left"/>
    </w:lvl>
    <w:lvl w:ilvl="2" w:tplc="8AD0AE50">
      <w:numFmt w:val="decimal"/>
      <w:lvlText w:val=""/>
      <w:lvlJc w:val="left"/>
    </w:lvl>
    <w:lvl w:ilvl="3" w:tplc="D8FA7C4E">
      <w:numFmt w:val="decimal"/>
      <w:lvlText w:val=""/>
      <w:lvlJc w:val="left"/>
    </w:lvl>
    <w:lvl w:ilvl="4" w:tplc="45121FBE">
      <w:numFmt w:val="decimal"/>
      <w:lvlText w:val=""/>
      <w:lvlJc w:val="left"/>
    </w:lvl>
    <w:lvl w:ilvl="5" w:tplc="1110E4BC">
      <w:numFmt w:val="decimal"/>
      <w:lvlText w:val=""/>
      <w:lvlJc w:val="left"/>
    </w:lvl>
    <w:lvl w:ilvl="6" w:tplc="99C80F28">
      <w:numFmt w:val="decimal"/>
      <w:lvlText w:val=""/>
      <w:lvlJc w:val="left"/>
    </w:lvl>
    <w:lvl w:ilvl="7" w:tplc="D054D8A0">
      <w:numFmt w:val="decimal"/>
      <w:lvlText w:val=""/>
      <w:lvlJc w:val="left"/>
    </w:lvl>
    <w:lvl w:ilvl="8" w:tplc="073E5878">
      <w:numFmt w:val="decimal"/>
      <w:lvlText w:val=""/>
      <w:lvlJc w:val="left"/>
    </w:lvl>
  </w:abstractNum>
  <w:abstractNum w:abstractNumId="3" w15:restartNumberingAfterBreak="0">
    <w:nsid w:val="0000000B"/>
    <w:multiLevelType w:val="multilevel"/>
    <w:tmpl w:val="000000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0D7548"/>
    <w:multiLevelType w:val="hybridMultilevel"/>
    <w:tmpl w:val="3CF4EB40"/>
    <w:lvl w:ilvl="0" w:tplc="0409000F">
      <w:start w:val="1"/>
      <w:numFmt w:val="decimal"/>
      <w:lvlText w:val="%1."/>
      <w:lvlJc w:val="left"/>
      <w:pPr>
        <w:ind w:left="2520" w:hanging="360"/>
      </w:pPr>
      <w:rPr>
        <w:rFonts w:hint="default"/>
      </w:rPr>
    </w:lvl>
    <w:lvl w:ilvl="1" w:tplc="041D0019" w:tentative="1">
      <w:start w:val="1"/>
      <w:numFmt w:val="lowerLetter"/>
      <w:lvlText w:val="%2."/>
      <w:lvlJc w:val="left"/>
      <w:pPr>
        <w:ind w:left="2880" w:hanging="360"/>
      </w:pPr>
    </w:lvl>
    <w:lvl w:ilvl="2" w:tplc="041D001B" w:tentative="1">
      <w:start w:val="1"/>
      <w:numFmt w:val="lowerRoman"/>
      <w:lvlText w:val="%3."/>
      <w:lvlJc w:val="right"/>
      <w:pPr>
        <w:ind w:left="3600" w:hanging="180"/>
      </w:pPr>
    </w:lvl>
    <w:lvl w:ilvl="3" w:tplc="041D000F" w:tentative="1">
      <w:start w:val="1"/>
      <w:numFmt w:val="decimal"/>
      <w:lvlText w:val="%4."/>
      <w:lvlJc w:val="left"/>
      <w:pPr>
        <w:ind w:left="4320" w:hanging="360"/>
      </w:pPr>
    </w:lvl>
    <w:lvl w:ilvl="4" w:tplc="041D0019" w:tentative="1">
      <w:start w:val="1"/>
      <w:numFmt w:val="lowerLetter"/>
      <w:lvlText w:val="%5."/>
      <w:lvlJc w:val="left"/>
      <w:pPr>
        <w:ind w:left="5040" w:hanging="360"/>
      </w:pPr>
    </w:lvl>
    <w:lvl w:ilvl="5" w:tplc="041D001B" w:tentative="1">
      <w:start w:val="1"/>
      <w:numFmt w:val="lowerRoman"/>
      <w:lvlText w:val="%6."/>
      <w:lvlJc w:val="right"/>
      <w:pPr>
        <w:ind w:left="5760" w:hanging="180"/>
      </w:pPr>
    </w:lvl>
    <w:lvl w:ilvl="6" w:tplc="041D000F" w:tentative="1">
      <w:start w:val="1"/>
      <w:numFmt w:val="decimal"/>
      <w:lvlText w:val="%7."/>
      <w:lvlJc w:val="left"/>
      <w:pPr>
        <w:ind w:left="6480" w:hanging="360"/>
      </w:pPr>
    </w:lvl>
    <w:lvl w:ilvl="7" w:tplc="041D0019" w:tentative="1">
      <w:start w:val="1"/>
      <w:numFmt w:val="lowerLetter"/>
      <w:lvlText w:val="%8."/>
      <w:lvlJc w:val="left"/>
      <w:pPr>
        <w:ind w:left="7200" w:hanging="360"/>
      </w:pPr>
    </w:lvl>
    <w:lvl w:ilvl="8" w:tplc="041D001B" w:tentative="1">
      <w:start w:val="1"/>
      <w:numFmt w:val="lowerRoman"/>
      <w:lvlText w:val="%9."/>
      <w:lvlJc w:val="right"/>
      <w:pPr>
        <w:ind w:left="7920" w:hanging="180"/>
      </w:pPr>
    </w:lvl>
  </w:abstractNum>
  <w:abstractNum w:abstractNumId="5" w15:restartNumberingAfterBreak="0">
    <w:nsid w:val="05AD7B0A"/>
    <w:multiLevelType w:val="multilevel"/>
    <w:tmpl w:val="14B0E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Arial Unicode MS" w:eastAsia="Arial Unicode MS" w:hAnsi="Arial Unicode MS" w:hint="eastAsia"/>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00652C"/>
    <w:multiLevelType w:val="multilevel"/>
    <w:tmpl w:val="297E23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0291705"/>
    <w:multiLevelType w:val="hybridMultilevel"/>
    <w:tmpl w:val="903026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6F3E85"/>
    <w:multiLevelType w:val="hybridMultilevel"/>
    <w:tmpl w:val="747C1624"/>
    <w:lvl w:ilvl="0" w:tplc="BE2C2642">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15300BFC"/>
    <w:multiLevelType w:val="hybridMultilevel"/>
    <w:tmpl w:val="083C2C38"/>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18371ADD"/>
    <w:multiLevelType w:val="hybridMultilevel"/>
    <w:tmpl w:val="67F81954"/>
    <w:lvl w:ilvl="0" w:tplc="A2843198">
      <w:start w:val="2"/>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99C3693"/>
    <w:multiLevelType w:val="hybridMultilevel"/>
    <w:tmpl w:val="A4D04EB0"/>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3645A8C"/>
    <w:multiLevelType w:val="multilevel"/>
    <w:tmpl w:val="E5B2969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328B302F"/>
    <w:multiLevelType w:val="hybridMultilevel"/>
    <w:tmpl w:val="779A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D60B1D"/>
    <w:multiLevelType w:val="hybridMultilevel"/>
    <w:tmpl w:val="0CA214B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B">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1" w15:restartNumberingAfterBreak="0">
    <w:nsid w:val="3AA46647"/>
    <w:multiLevelType w:val="hybridMultilevel"/>
    <w:tmpl w:val="9D541698"/>
    <w:lvl w:ilvl="0" w:tplc="78A864BC">
      <w:start w:val="1"/>
      <w:numFmt w:val="decimal"/>
      <w:pStyle w:val="Proposal"/>
      <w:lvlText w:val="Proposal %1"/>
      <w:lvlJc w:val="left"/>
      <w:pPr>
        <w:tabs>
          <w:tab w:val="num" w:pos="1304"/>
        </w:tabs>
        <w:ind w:left="1304" w:hanging="1304"/>
      </w:pPr>
      <w:rPr>
        <w:rFonts w:hint="default"/>
      </w:rPr>
    </w:lvl>
    <w:lvl w:ilvl="1" w:tplc="4B741714">
      <w:numFmt w:val="bullet"/>
      <w:lvlText w:val="-"/>
      <w:lvlJc w:val="left"/>
      <w:pPr>
        <w:ind w:left="1440" w:hanging="360"/>
      </w:pPr>
      <w:rPr>
        <w:rFonts w:ascii="Arial" w:eastAsiaTheme="minorHAnsi" w:hAnsi="Arial" w:cs="Aria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45830605"/>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468519EC"/>
    <w:multiLevelType w:val="hybridMultilevel"/>
    <w:tmpl w:val="00D2C72E"/>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800" w:hanging="400"/>
      </w:pPr>
      <w:rPr>
        <w:rFonts w:ascii="Courier New" w:hAnsi="Courier New" w:cs="Courier New"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5" w15:restartNumberingAfterBreak="0">
    <w:nsid w:val="47246CCD"/>
    <w:multiLevelType w:val="hybridMultilevel"/>
    <w:tmpl w:val="93D4C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670DCB"/>
    <w:multiLevelType w:val="hybridMultilevel"/>
    <w:tmpl w:val="600E8992"/>
    <w:lvl w:ilvl="0" w:tplc="56D22A12">
      <w:start w:val="2"/>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3897253"/>
    <w:multiLevelType w:val="hybridMultilevel"/>
    <w:tmpl w:val="0F5ECC74"/>
    <w:lvl w:ilvl="0" w:tplc="52F28482">
      <w:start w:val="1"/>
      <w:numFmt w:val="decimal"/>
      <w:lvlText w:val="[%1]"/>
      <w:lvlJc w:val="left"/>
      <w:pPr>
        <w:ind w:left="737" w:hanging="737"/>
      </w:pPr>
      <w:rPr>
        <w:rFonts w:hint="default"/>
      </w:rPr>
    </w:lvl>
    <w:lvl w:ilvl="1" w:tplc="FE440E4C">
      <w:start w:val="1"/>
      <w:numFmt w:val="lowerLetter"/>
      <w:lvlText w:val="%2."/>
      <w:lvlJc w:val="left"/>
      <w:pPr>
        <w:ind w:left="1474" w:hanging="737"/>
      </w:pPr>
      <w:rPr>
        <w:rFonts w:hint="default"/>
      </w:rPr>
    </w:lvl>
    <w:lvl w:ilvl="2" w:tplc="B49EABC6">
      <w:start w:val="1"/>
      <w:numFmt w:val="lowerRoman"/>
      <w:lvlText w:val="%3."/>
      <w:lvlJc w:val="left"/>
      <w:pPr>
        <w:ind w:left="2211" w:hanging="737"/>
      </w:pPr>
      <w:rPr>
        <w:rFonts w:hint="default"/>
      </w:rPr>
    </w:lvl>
    <w:lvl w:ilvl="3" w:tplc="6EE4863A">
      <w:start w:val="1"/>
      <w:numFmt w:val="decimal"/>
      <w:lvlText w:val="%4."/>
      <w:lvlJc w:val="left"/>
      <w:pPr>
        <w:ind w:left="2948" w:hanging="737"/>
      </w:pPr>
      <w:rPr>
        <w:rFonts w:hint="default"/>
      </w:rPr>
    </w:lvl>
    <w:lvl w:ilvl="4" w:tplc="FCF02AAA">
      <w:start w:val="1"/>
      <w:numFmt w:val="lowerLetter"/>
      <w:lvlText w:val="%5."/>
      <w:lvlJc w:val="left"/>
      <w:pPr>
        <w:ind w:left="3685" w:hanging="737"/>
      </w:pPr>
      <w:rPr>
        <w:rFonts w:hint="default"/>
      </w:rPr>
    </w:lvl>
    <w:lvl w:ilvl="5" w:tplc="3656E1D6">
      <w:start w:val="1"/>
      <w:numFmt w:val="lowerRoman"/>
      <w:lvlText w:val="%6."/>
      <w:lvlJc w:val="left"/>
      <w:pPr>
        <w:ind w:left="4422" w:hanging="737"/>
      </w:pPr>
      <w:rPr>
        <w:rFonts w:hint="default"/>
      </w:rPr>
    </w:lvl>
    <w:lvl w:ilvl="6" w:tplc="692EA2F0">
      <w:start w:val="1"/>
      <w:numFmt w:val="decimal"/>
      <w:lvlText w:val="%7."/>
      <w:lvlJc w:val="left"/>
      <w:pPr>
        <w:ind w:left="5159" w:hanging="737"/>
      </w:pPr>
      <w:rPr>
        <w:rFonts w:hint="default"/>
      </w:rPr>
    </w:lvl>
    <w:lvl w:ilvl="7" w:tplc="6176411A">
      <w:start w:val="1"/>
      <w:numFmt w:val="lowerLetter"/>
      <w:lvlText w:val="%8."/>
      <w:lvlJc w:val="left"/>
      <w:pPr>
        <w:ind w:left="5896" w:hanging="737"/>
      </w:pPr>
      <w:rPr>
        <w:rFonts w:hint="default"/>
      </w:rPr>
    </w:lvl>
    <w:lvl w:ilvl="8" w:tplc="D35CECF8">
      <w:start w:val="1"/>
      <w:numFmt w:val="lowerRoman"/>
      <w:lvlText w:val="%9."/>
      <w:lvlJc w:val="left"/>
      <w:pPr>
        <w:ind w:left="6633" w:hanging="737"/>
      </w:pPr>
      <w:rPr>
        <w:rFonts w:hint="default"/>
      </w:rPr>
    </w:lvl>
  </w:abstractNum>
  <w:abstractNum w:abstractNumId="32"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C1A17C5"/>
    <w:multiLevelType w:val="multilevel"/>
    <w:tmpl w:val="204EAB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5F1D3634"/>
    <w:multiLevelType w:val="multilevel"/>
    <w:tmpl w:val="4B929B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07113A5"/>
    <w:multiLevelType w:val="multilevel"/>
    <w:tmpl w:val="3B06C76C"/>
    <w:lvl w:ilvl="0">
      <w:start w:val="1"/>
      <w:numFmt w:val="decimal"/>
      <w:lvlText w:val="%1."/>
      <w:lvlJc w:val="left"/>
      <w:pPr>
        <w:ind w:left="720" w:hanging="360"/>
      </w:pPr>
    </w:lvl>
    <w:lvl w:ilvl="1">
      <w:start w:val="6"/>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60BB2782"/>
    <w:multiLevelType w:val="multilevel"/>
    <w:tmpl w:val="AD32C7C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3D76856"/>
    <w:multiLevelType w:val="hybridMultilevel"/>
    <w:tmpl w:val="F80441EA"/>
    <w:lvl w:ilvl="0" w:tplc="61705BEC">
      <w:start w:val="4"/>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B1944F2"/>
    <w:multiLevelType w:val="multilevel"/>
    <w:tmpl w:val="F1DE8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D37696E"/>
    <w:multiLevelType w:val="hybridMultilevel"/>
    <w:tmpl w:val="BB4E4F12"/>
    <w:lvl w:ilvl="0" w:tplc="A2843198">
      <w:start w:val="2"/>
      <w:numFmt w:val="bullet"/>
      <w:lvlText w:val="-"/>
      <w:lvlJc w:val="left"/>
      <w:pPr>
        <w:ind w:left="780" w:hanging="360"/>
      </w:pPr>
      <w:rPr>
        <w:rFonts w:ascii="Arial" w:eastAsiaTheme="minorHAnsi" w:hAnsi="Arial" w:cs="Aria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num w:numId="1">
    <w:abstractNumId w:val="27"/>
  </w:num>
  <w:num w:numId="2">
    <w:abstractNumId w:val="21"/>
  </w:num>
  <w:num w:numId="3">
    <w:abstractNumId w:val="2"/>
  </w:num>
  <w:num w:numId="4">
    <w:abstractNumId w:val="29"/>
  </w:num>
  <w:num w:numId="5">
    <w:abstractNumId w:val="30"/>
  </w:num>
  <w:num w:numId="6">
    <w:abstractNumId w:val="33"/>
  </w:num>
  <w:num w:numId="7">
    <w:abstractNumId w:val="15"/>
  </w:num>
  <w:num w:numId="8">
    <w:abstractNumId w:val="17"/>
  </w:num>
  <w:num w:numId="9">
    <w:abstractNumId w:val="7"/>
  </w:num>
  <w:num w:numId="10">
    <w:abstractNumId w:val="43"/>
  </w:num>
  <w:num w:numId="11">
    <w:abstractNumId w:val="19"/>
  </w:num>
  <w:num w:numId="12">
    <w:abstractNumId w:val="42"/>
  </w:num>
  <w:num w:numId="13">
    <w:abstractNumId w:val="35"/>
  </w:num>
  <w:num w:numId="14">
    <w:abstractNumId w:val="13"/>
  </w:num>
  <w:num w:numId="15">
    <w:abstractNumId w:val="26"/>
  </w:num>
  <w:num w:numId="16">
    <w:abstractNumId w:val="44"/>
  </w:num>
  <w:num w:numId="17">
    <w:abstractNumId w:val="40"/>
  </w:num>
  <w:num w:numId="18">
    <w:abstractNumId w:val="22"/>
  </w:num>
  <w:num w:numId="19">
    <w:abstractNumId w:val="10"/>
  </w:num>
  <w:num w:numId="20">
    <w:abstractNumId w:val="23"/>
  </w:num>
  <w:num w:numId="21">
    <w:abstractNumId w:val="4"/>
  </w:num>
  <w:num w:numId="22">
    <w:abstractNumId w:val="25"/>
  </w:num>
  <w:num w:numId="23">
    <w:abstractNumId w:val="24"/>
  </w:num>
  <w:num w:numId="24">
    <w:abstractNumId w:val="11"/>
  </w:num>
  <w:num w:numId="25">
    <w:abstractNumId w:val="45"/>
  </w:num>
  <w:num w:numId="26">
    <w:abstractNumId w:val="6"/>
  </w:num>
  <w:num w:numId="27">
    <w:abstractNumId w:val="5"/>
  </w:num>
  <w:num w:numId="28">
    <w:abstractNumId w:val="18"/>
  </w:num>
  <w:num w:numId="29">
    <w:abstractNumId w:val="16"/>
  </w:num>
  <w:num w:numId="30">
    <w:abstractNumId w:val="38"/>
  </w:num>
  <w:num w:numId="31">
    <w:abstractNumId w:val="46"/>
  </w:num>
  <w:num w:numId="32">
    <w:abstractNumId w:val="12"/>
  </w:num>
  <w:num w:numId="33">
    <w:abstractNumId w:val="3"/>
  </w:num>
  <w:num w:numId="34">
    <w:abstractNumId w:val="41"/>
  </w:num>
  <w:num w:numId="35">
    <w:abstractNumId w:val="31"/>
  </w:num>
  <w:num w:numId="36">
    <w:abstractNumId w:val="32"/>
  </w:num>
  <w:num w:numId="37">
    <w:abstractNumId w:val="9"/>
  </w:num>
  <w:num w:numId="38">
    <w:abstractNumId w:val="37"/>
  </w:num>
  <w:num w:numId="39">
    <w:abstractNumId w:val="39"/>
  </w:num>
  <w:num w:numId="40">
    <w:abstractNumId w:val="34"/>
  </w:num>
  <w:num w:numId="41">
    <w:abstractNumId w:val="20"/>
  </w:num>
  <w:num w:numId="42">
    <w:abstractNumId w:val="36"/>
  </w:num>
  <w:num w:numId="43">
    <w:abstractNumId w:val="1"/>
  </w:num>
  <w:num w:numId="44">
    <w:abstractNumId w:val="0"/>
  </w:num>
  <w:num w:numId="45">
    <w:abstractNumId w:val="28"/>
  </w:num>
  <w:num w:numId="46">
    <w:abstractNumId w:val="8"/>
  </w:num>
  <w:num w:numId="47">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5D6"/>
    <w:rsid w:val="00002A37"/>
    <w:rsid w:val="00005047"/>
    <w:rsid w:val="0000564C"/>
    <w:rsid w:val="00006446"/>
    <w:rsid w:val="00006896"/>
    <w:rsid w:val="00007A7D"/>
    <w:rsid w:val="00007CDC"/>
    <w:rsid w:val="0001075B"/>
    <w:rsid w:val="00011B28"/>
    <w:rsid w:val="00012F56"/>
    <w:rsid w:val="00013AAE"/>
    <w:rsid w:val="00015D15"/>
    <w:rsid w:val="000170F6"/>
    <w:rsid w:val="0002098F"/>
    <w:rsid w:val="00020C92"/>
    <w:rsid w:val="00021E0B"/>
    <w:rsid w:val="00021F49"/>
    <w:rsid w:val="000228DA"/>
    <w:rsid w:val="00022B78"/>
    <w:rsid w:val="000246B8"/>
    <w:rsid w:val="00024C0E"/>
    <w:rsid w:val="0002564D"/>
    <w:rsid w:val="00025ECA"/>
    <w:rsid w:val="00025FB6"/>
    <w:rsid w:val="00027F89"/>
    <w:rsid w:val="00030C2F"/>
    <w:rsid w:val="00030D1B"/>
    <w:rsid w:val="0003208B"/>
    <w:rsid w:val="000325B8"/>
    <w:rsid w:val="00032756"/>
    <w:rsid w:val="0003435C"/>
    <w:rsid w:val="00034C15"/>
    <w:rsid w:val="00035B60"/>
    <w:rsid w:val="000366D8"/>
    <w:rsid w:val="000367AA"/>
    <w:rsid w:val="00036BA1"/>
    <w:rsid w:val="00037B07"/>
    <w:rsid w:val="0004052A"/>
    <w:rsid w:val="000412B3"/>
    <w:rsid w:val="00041826"/>
    <w:rsid w:val="00041B48"/>
    <w:rsid w:val="000422E2"/>
    <w:rsid w:val="00042349"/>
    <w:rsid w:val="00042AAC"/>
    <w:rsid w:val="00042F22"/>
    <w:rsid w:val="000444EF"/>
    <w:rsid w:val="00045A70"/>
    <w:rsid w:val="00045C49"/>
    <w:rsid w:val="000460C9"/>
    <w:rsid w:val="00046311"/>
    <w:rsid w:val="000524FE"/>
    <w:rsid w:val="00052A07"/>
    <w:rsid w:val="000534E3"/>
    <w:rsid w:val="00053661"/>
    <w:rsid w:val="00053A8B"/>
    <w:rsid w:val="0005426E"/>
    <w:rsid w:val="0005513A"/>
    <w:rsid w:val="000556EF"/>
    <w:rsid w:val="00055B4C"/>
    <w:rsid w:val="0005606A"/>
    <w:rsid w:val="00056819"/>
    <w:rsid w:val="00057117"/>
    <w:rsid w:val="000575CE"/>
    <w:rsid w:val="00057D3E"/>
    <w:rsid w:val="000616E7"/>
    <w:rsid w:val="00063F03"/>
    <w:rsid w:val="000642D8"/>
    <w:rsid w:val="0006487E"/>
    <w:rsid w:val="00064D3A"/>
    <w:rsid w:val="0006510E"/>
    <w:rsid w:val="00065E1A"/>
    <w:rsid w:val="00066C49"/>
    <w:rsid w:val="00066EA7"/>
    <w:rsid w:val="00073365"/>
    <w:rsid w:val="000750A6"/>
    <w:rsid w:val="000768EF"/>
    <w:rsid w:val="00077E5F"/>
    <w:rsid w:val="0008036A"/>
    <w:rsid w:val="000808D1"/>
    <w:rsid w:val="00080CBB"/>
    <w:rsid w:val="00080E22"/>
    <w:rsid w:val="00081AE6"/>
    <w:rsid w:val="00082415"/>
    <w:rsid w:val="00083085"/>
    <w:rsid w:val="00084878"/>
    <w:rsid w:val="00084B35"/>
    <w:rsid w:val="000855EB"/>
    <w:rsid w:val="00085B52"/>
    <w:rsid w:val="000866F2"/>
    <w:rsid w:val="00086842"/>
    <w:rsid w:val="00087F9D"/>
    <w:rsid w:val="0009009F"/>
    <w:rsid w:val="0009011C"/>
    <w:rsid w:val="00090584"/>
    <w:rsid w:val="00091240"/>
    <w:rsid w:val="00091557"/>
    <w:rsid w:val="00091CED"/>
    <w:rsid w:val="00092464"/>
    <w:rsid w:val="000924C1"/>
    <w:rsid w:val="000924F0"/>
    <w:rsid w:val="00093283"/>
    <w:rsid w:val="00093474"/>
    <w:rsid w:val="000940FE"/>
    <w:rsid w:val="00094A96"/>
    <w:rsid w:val="0009510F"/>
    <w:rsid w:val="0009592F"/>
    <w:rsid w:val="0009786A"/>
    <w:rsid w:val="000A1B7B"/>
    <w:rsid w:val="000A1F1D"/>
    <w:rsid w:val="000A2476"/>
    <w:rsid w:val="000A26C3"/>
    <w:rsid w:val="000A353A"/>
    <w:rsid w:val="000A3861"/>
    <w:rsid w:val="000A56F2"/>
    <w:rsid w:val="000A722C"/>
    <w:rsid w:val="000B10E8"/>
    <w:rsid w:val="000B2719"/>
    <w:rsid w:val="000B2CE4"/>
    <w:rsid w:val="000B3884"/>
    <w:rsid w:val="000B3A8F"/>
    <w:rsid w:val="000B407C"/>
    <w:rsid w:val="000B4AB9"/>
    <w:rsid w:val="000B572B"/>
    <w:rsid w:val="000B58C3"/>
    <w:rsid w:val="000B61E9"/>
    <w:rsid w:val="000B62D4"/>
    <w:rsid w:val="000B6CBF"/>
    <w:rsid w:val="000B6FDF"/>
    <w:rsid w:val="000B75A1"/>
    <w:rsid w:val="000B78EC"/>
    <w:rsid w:val="000C0B04"/>
    <w:rsid w:val="000C165A"/>
    <w:rsid w:val="000C2E19"/>
    <w:rsid w:val="000C2EE5"/>
    <w:rsid w:val="000C329F"/>
    <w:rsid w:val="000C34CA"/>
    <w:rsid w:val="000C4974"/>
    <w:rsid w:val="000C4DEF"/>
    <w:rsid w:val="000C52C7"/>
    <w:rsid w:val="000C55C5"/>
    <w:rsid w:val="000C715D"/>
    <w:rsid w:val="000D0D07"/>
    <w:rsid w:val="000D1491"/>
    <w:rsid w:val="000D17C4"/>
    <w:rsid w:val="000D19DE"/>
    <w:rsid w:val="000D1CD2"/>
    <w:rsid w:val="000D2660"/>
    <w:rsid w:val="000D2D5F"/>
    <w:rsid w:val="000D38AE"/>
    <w:rsid w:val="000D4797"/>
    <w:rsid w:val="000D56EA"/>
    <w:rsid w:val="000D607B"/>
    <w:rsid w:val="000D7359"/>
    <w:rsid w:val="000E04FA"/>
    <w:rsid w:val="000E0527"/>
    <w:rsid w:val="000E0F2D"/>
    <w:rsid w:val="000E1E92"/>
    <w:rsid w:val="000E209C"/>
    <w:rsid w:val="000E2D27"/>
    <w:rsid w:val="000E3777"/>
    <w:rsid w:val="000E4ED6"/>
    <w:rsid w:val="000E4EEA"/>
    <w:rsid w:val="000E4F7C"/>
    <w:rsid w:val="000E584B"/>
    <w:rsid w:val="000F06D6"/>
    <w:rsid w:val="000F0D78"/>
    <w:rsid w:val="000F0EB1"/>
    <w:rsid w:val="000F1106"/>
    <w:rsid w:val="000F1371"/>
    <w:rsid w:val="000F143B"/>
    <w:rsid w:val="000F31CA"/>
    <w:rsid w:val="000F329D"/>
    <w:rsid w:val="000F3BE9"/>
    <w:rsid w:val="000F3F6C"/>
    <w:rsid w:val="000F4328"/>
    <w:rsid w:val="000F4758"/>
    <w:rsid w:val="000F6AA3"/>
    <w:rsid w:val="000F6DF3"/>
    <w:rsid w:val="000F79ED"/>
    <w:rsid w:val="000F7D2E"/>
    <w:rsid w:val="001005FF"/>
    <w:rsid w:val="0010080F"/>
    <w:rsid w:val="00101DB7"/>
    <w:rsid w:val="00102106"/>
    <w:rsid w:val="0010252C"/>
    <w:rsid w:val="00103D75"/>
    <w:rsid w:val="001046D1"/>
    <w:rsid w:val="00105676"/>
    <w:rsid w:val="001060F8"/>
    <w:rsid w:val="001062FB"/>
    <w:rsid w:val="001063E6"/>
    <w:rsid w:val="00107FDF"/>
    <w:rsid w:val="00110070"/>
    <w:rsid w:val="0011092F"/>
    <w:rsid w:val="00113816"/>
    <w:rsid w:val="00113CF4"/>
    <w:rsid w:val="00113EC9"/>
    <w:rsid w:val="00115122"/>
    <w:rsid w:val="001153EA"/>
    <w:rsid w:val="001154BB"/>
    <w:rsid w:val="00115643"/>
    <w:rsid w:val="00116765"/>
    <w:rsid w:val="00116820"/>
    <w:rsid w:val="00120A85"/>
    <w:rsid w:val="00120EB7"/>
    <w:rsid w:val="0012100A"/>
    <w:rsid w:val="001219F5"/>
    <w:rsid w:val="00121A20"/>
    <w:rsid w:val="00121F34"/>
    <w:rsid w:val="001222D4"/>
    <w:rsid w:val="00122EAD"/>
    <w:rsid w:val="0012377F"/>
    <w:rsid w:val="00124314"/>
    <w:rsid w:val="00124CF8"/>
    <w:rsid w:val="00126B4A"/>
    <w:rsid w:val="001275E8"/>
    <w:rsid w:val="0013012D"/>
    <w:rsid w:val="00132590"/>
    <w:rsid w:val="00132FD0"/>
    <w:rsid w:val="00133DC0"/>
    <w:rsid w:val="001344C0"/>
    <w:rsid w:val="001346FA"/>
    <w:rsid w:val="001348B3"/>
    <w:rsid w:val="00134AE8"/>
    <w:rsid w:val="00135231"/>
    <w:rsid w:val="00135252"/>
    <w:rsid w:val="0013543B"/>
    <w:rsid w:val="00136575"/>
    <w:rsid w:val="00136EBB"/>
    <w:rsid w:val="00137AB5"/>
    <w:rsid w:val="00137D6B"/>
    <w:rsid w:val="00137F0B"/>
    <w:rsid w:val="00140806"/>
    <w:rsid w:val="00140C2B"/>
    <w:rsid w:val="0014145E"/>
    <w:rsid w:val="00141CC3"/>
    <w:rsid w:val="00143340"/>
    <w:rsid w:val="00143848"/>
    <w:rsid w:val="00143D25"/>
    <w:rsid w:val="0014466D"/>
    <w:rsid w:val="00145959"/>
    <w:rsid w:val="001473CE"/>
    <w:rsid w:val="001505A3"/>
    <w:rsid w:val="00150822"/>
    <w:rsid w:val="001511B4"/>
    <w:rsid w:val="00151E23"/>
    <w:rsid w:val="001526E0"/>
    <w:rsid w:val="00154CE6"/>
    <w:rsid w:val="001551B5"/>
    <w:rsid w:val="001557DB"/>
    <w:rsid w:val="00157279"/>
    <w:rsid w:val="0015769E"/>
    <w:rsid w:val="001617F4"/>
    <w:rsid w:val="00162951"/>
    <w:rsid w:val="00162B05"/>
    <w:rsid w:val="00162FB5"/>
    <w:rsid w:val="0016339F"/>
    <w:rsid w:val="00163762"/>
    <w:rsid w:val="00164071"/>
    <w:rsid w:val="00164241"/>
    <w:rsid w:val="001659C1"/>
    <w:rsid w:val="0016710F"/>
    <w:rsid w:val="00167F7F"/>
    <w:rsid w:val="001716D7"/>
    <w:rsid w:val="00171766"/>
    <w:rsid w:val="00171D51"/>
    <w:rsid w:val="00172465"/>
    <w:rsid w:val="00173A8E"/>
    <w:rsid w:val="00173C66"/>
    <w:rsid w:val="0017502C"/>
    <w:rsid w:val="00175F47"/>
    <w:rsid w:val="0017641C"/>
    <w:rsid w:val="00176ABE"/>
    <w:rsid w:val="00176C07"/>
    <w:rsid w:val="00176EA8"/>
    <w:rsid w:val="00180B13"/>
    <w:rsid w:val="00180CA7"/>
    <w:rsid w:val="00181308"/>
    <w:rsid w:val="0018143F"/>
    <w:rsid w:val="00181FF8"/>
    <w:rsid w:val="00182C44"/>
    <w:rsid w:val="00186A77"/>
    <w:rsid w:val="0019074B"/>
    <w:rsid w:val="0019084D"/>
    <w:rsid w:val="00190AC1"/>
    <w:rsid w:val="00191523"/>
    <w:rsid w:val="001915C1"/>
    <w:rsid w:val="00192BA2"/>
    <w:rsid w:val="001932CF"/>
    <w:rsid w:val="0019341A"/>
    <w:rsid w:val="00193FE2"/>
    <w:rsid w:val="001947CB"/>
    <w:rsid w:val="00194915"/>
    <w:rsid w:val="00197DF9"/>
    <w:rsid w:val="001A1987"/>
    <w:rsid w:val="001A1AC3"/>
    <w:rsid w:val="001A206B"/>
    <w:rsid w:val="001A2533"/>
    <w:rsid w:val="001A2564"/>
    <w:rsid w:val="001A28AF"/>
    <w:rsid w:val="001A2B1D"/>
    <w:rsid w:val="001A3854"/>
    <w:rsid w:val="001A429F"/>
    <w:rsid w:val="001A50A5"/>
    <w:rsid w:val="001A5A28"/>
    <w:rsid w:val="001A6173"/>
    <w:rsid w:val="001A6CBA"/>
    <w:rsid w:val="001B0A41"/>
    <w:rsid w:val="001B0D97"/>
    <w:rsid w:val="001B223A"/>
    <w:rsid w:val="001B3009"/>
    <w:rsid w:val="001B35B1"/>
    <w:rsid w:val="001B3F31"/>
    <w:rsid w:val="001B4E1B"/>
    <w:rsid w:val="001B5832"/>
    <w:rsid w:val="001B5A5D"/>
    <w:rsid w:val="001C06AD"/>
    <w:rsid w:val="001C118A"/>
    <w:rsid w:val="001C14D5"/>
    <w:rsid w:val="001C1CE5"/>
    <w:rsid w:val="001C1D0E"/>
    <w:rsid w:val="001C2178"/>
    <w:rsid w:val="001C3D2A"/>
    <w:rsid w:val="001C46AB"/>
    <w:rsid w:val="001C5095"/>
    <w:rsid w:val="001C6928"/>
    <w:rsid w:val="001C7F9E"/>
    <w:rsid w:val="001D17C0"/>
    <w:rsid w:val="001D490D"/>
    <w:rsid w:val="001D4A00"/>
    <w:rsid w:val="001D51BA"/>
    <w:rsid w:val="001D53E7"/>
    <w:rsid w:val="001D5DAF"/>
    <w:rsid w:val="001D6204"/>
    <w:rsid w:val="001D6342"/>
    <w:rsid w:val="001D6D53"/>
    <w:rsid w:val="001D7E1B"/>
    <w:rsid w:val="001E278D"/>
    <w:rsid w:val="001E58E2"/>
    <w:rsid w:val="001E601F"/>
    <w:rsid w:val="001E6813"/>
    <w:rsid w:val="001E6A65"/>
    <w:rsid w:val="001E7AED"/>
    <w:rsid w:val="001F0ECA"/>
    <w:rsid w:val="001F1BCC"/>
    <w:rsid w:val="001F2118"/>
    <w:rsid w:val="001F28E8"/>
    <w:rsid w:val="001F3916"/>
    <w:rsid w:val="001F54C5"/>
    <w:rsid w:val="001F590D"/>
    <w:rsid w:val="001F64B8"/>
    <w:rsid w:val="001F662C"/>
    <w:rsid w:val="001F7074"/>
    <w:rsid w:val="001F7191"/>
    <w:rsid w:val="00200490"/>
    <w:rsid w:val="00200D04"/>
    <w:rsid w:val="00201F3A"/>
    <w:rsid w:val="00203A6F"/>
    <w:rsid w:val="00203F96"/>
    <w:rsid w:val="002043BC"/>
    <w:rsid w:val="0020526A"/>
    <w:rsid w:val="002069B2"/>
    <w:rsid w:val="00206ED3"/>
    <w:rsid w:val="00207A6B"/>
    <w:rsid w:val="00207FA3"/>
    <w:rsid w:val="0021140B"/>
    <w:rsid w:val="0021165B"/>
    <w:rsid w:val="00212A99"/>
    <w:rsid w:val="00212C79"/>
    <w:rsid w:val="00213210"/>
    <w:rsid w:val="0021348A"/>
    <w:rsid w:val="00214DA8"/>
    <w:rsid w:val="00215114"/>
    <w:rsid w:val="00215423"/>
    <w:rsid w:val="002158FA"/>
    <w:rsid w:val="00215B5C"/>
    <w:rsid w:val="00220042"/>
    <w:rsid w:val="00220600"/>
    <w:rsid w:val="00220A5C"/>
    <w:rsid w:val="00221BEC"/>
    <w:rsid w:val="002224DB"/>
    <w:rsid w:val="002226B7"/>
    <w:rsid w:val="00222823"/>
    <w:rsid w:val="00223E15"/>
    <w:rsid w:val="00223FCB"/>
    <w:rsid w:val="00224DA3"/>
    <w:rsid w:val="002252C3"/>
    <w:rsid w:val="00225C54"/>
    <w:rsid w:val="00226D6A"/>
    <w:rsid w:val="00227C30"/>
    <w:rsid w:val="00230501"/>
    <w:rsid w:val="00230765"/>
    <w:rsid w:val="00230D18"/>
    <w:rsid w:val="0023145C"/>
    <w:rsid w:val="002319E4"/>
    <w:rsid w:val="00233762"/>
    <w:rsid w:val="00235632"/>
    <w:rsid w:val="00235872"/>
    <w:rsid w:val="0023638A"/>
    <w:rsid w:val="00237310"/>
    <w:rsid w:val="00241559"/>
    <w:rsid w:val="002435B3"/>
    <w:rsid w:val="002458EB"/>
    <w:rsid w:val="00245D00"/>
    <w:rsid w:val="0024618E"/>
    <w:rsid w:val="002465F5"/>
    <w:rsid w:val="0024756C"/>
    <w:rsid w:val="00247C5D"/>
    <w:rsid w:val="002500C8"/>
    <w:rsid w:val="002506EF"/>
    <w:rsid w:val="00251557"/>
    <w:rsid w:val="0025220E"/>
    <w:rsid w:val="0025582C"/>
    <w:rsid w:val="00255C40"/>
    <w:rsid w:val="00255C9C"/>
    <w:rsid w:val="00256497"/>
    <w:rsid w:val="002567B1"/>
    <w:rsid w:val="00257543"/>
    <w:rsid w:val="00257FBA"/>
    <w:rsid w:val="002607D0"/>
    <w:rsid w:val="0026085E"/>
    <w:rsid w:val="00260B38"/>
    <w:rsid w:val="0026110C"/>
    <w:rsid w:val="002617E7"/>
    <w:rsid w:val="00263269"/>
    <w:rsid w:val="00263BB5"/>
    <w:rsid w:val="00264228"/>
    <w:rsid w:val="00264334"/>
    <w:rsid w:val="0026473E"/>
    <w:rsid w:val="00265732"/>
    <w:rsid w:val="00266214"/>
    <w:rsid w:val="0026660E"/>
    <w:rsid w:val="00266C8B"/>
    <w:rsid w:val="00266D67"/>
    <w:rsid w:val="00267C83"/>
    <w:rsid w:val="00267E6A"/>
    <w:rsid w:val="0027059E"/>
    <w:rsid w:val="0027144F"/>
    <w:rsid w:val="00271813"/>
    <w:rsid w:val="00271EFD"/>
    <w:rsid w:val="00271F3A"/>
    <w:rsid w:val="00273278"/>
    <w:rsid w:val="002734F2"/>
    <w:rsid w:val="002737F4"/>
    <w:rsid w:val="0027567D"/>
    <w:rsid w:val="002805F5"/>
    <w:rsid w:val="00280751"/>
    <w:rsid w:val="0028280A"/>
    <w:rsid w:val="00282875"/>
    <w:rsid w:val="00284FA5"/>
    <w:rsid w:val="002856DC"/>
    <w:rsid w:val="00285D4E"/>
    <w:rsid w:val="00286ACD"/>
    <w:rsid w:val="00286ED9"/>
    <w:rsid w:val="00287838"/>
    <w:rsid w:val="00287A5F"/>
    <w:rsid w:val="002907B5"/>
    <w:rsid w:val="00291575"/>
    <w:rsid w:val="002926BB"/>
    <w:rsid w:val="00292EB7"/>
    <w:rsid w:val="00293181"/>
    <w:rsid w:val="00293706"/>
    <w:rsid w:val="00293AE8"/>
    <w:rsid w:val="00293C5E"/>
    <w:rsid w:val="00294008"/>
    <w:rsid w:val="002945E8"/>
    <w:rsid w:val="00296227"/>
    <w:rsid w:val="00296469"/>
    <w:rsid w:val="0029647C"/>
    <w:rsid w:val="00296F44"/>
    <w:rsid w:val="002970CC"/>
    <w:rsid w:val="00297503"/>
    <w:rsid w:val="0029764C"/>
    <w:rsid w:val="0029777D"/>
    <w:rsid w:val="002A055E"/>
    <w:rsid w:val="002A155A"/>
    <w:rsid w:val="002A1D4E"/>
    <w:rsid w:val="002A2869"/>
    <w:rsid w:val="002A3BE1"/>
    <w:rsid w:val="002A4D42"/>
    <w:rsid w:val="002B0085"/>
    <w:rsid w:val="002B13CB"/>
    <w:rsid w:val="002B204A"/>
    <w:rsid w:val="002B24D6"/>
    <w:rsid w:val="002B67D6"/>
    <w:rsid w:val="002B690D"/>
    <w:rsid w:val="002B698A"/>
    <w:rsid w:val="002C0117"/>
    <w:rsid w:val="002C1957"/>
    <w:rsid w:val="002C1990"/>
    <w:rsid w:val="002C1A59"/>
    <w:rsid w:val="002C303E"/>
    <w:rsid w:val="002C41E6"/>
    <w:rsid w:val="002C61E8"/>
    <w:rsid w:val="002C664E"/>
    <w:rsid w:val="002C6B32"/>
    <w:rsid w:val="002C7D2A"/>
    <w:rsid w:val="002D012D"/>
    <w:rsid w:val="002D071A"/>
    <w:rsid w:val="002D0DC5"/>
    <w:rsid w:val="002D1108"/>
    <w:rsid w:val="002D3034"/>
    <w:rsid w:val="002D34B2"/>
    <w:rsid w:val="002D3A38"/>
    <w:rsid w:val="002D48B0"/>
    <w:rsid w:val="002D4B9A"/>
    <w:rsid w:val="002D4EF5"/>
    <w:rsid w:val="002D4F32"/>
    <w:rsid w:val="002D55D6"/>
    <w:rsid w:val="002D56B6"/>
    <w:rsid w:val="002D5B37"/>
    <w:rsid w:val="002D6777"/>
    <w:rsid w:val="002D6DB8"/>
    <w:rsid w:val="002D7637"/>
    <w:rsid w:val="002E071E"/>
    <w:rsid w:val="002E08A3"/>
    <w:rsid w:val="002E08C2"/>
    <w:rsid w:val="002E17F2"/>
    <w:rsid w:val="002E1C6D"/>
    <w:rsid w:val="002E3557"/>
    <w:rsid w:val="002E424F"/>
    <w:rsid w:val="002E5476"/>
    <w:rsid w:val="002E5668"/>
    <w:rsid w:val="002E6AF8"/>
    <w:rsid w:val="002E7125"/>
    <w:rsid w:val="002E7ADA"/>
    <w:rsid w:val="002E7CAE"/>
    <w:rsid w:val="002F09A3"/>
    <w:rsid w:val="002F10BF"/>
    <w:rsid w:val="002F13E4"/>
    <w:rsid w:val="002F1844"/>
    <w:rsid w:val="002F2038"/>
    <w:rsid w:val="002F2532"/>
    <w:rsid w:val="002F2771"/>
    <w:rsid w:val="002F37A9"/>
    <w:rsid w:val="002F4238"/>
    <w:rsid w:val="002F468C"/>
    <w:rsid w:val="002F4E4C"/>
    <w:rsid w:val="00301CE6"/>
    <w:rsid w:val="0030256B"/>
    <w:rsid w:val="0030490D"/>
    <w:rsid w:val="0030501F"/>
    <w:rsid w:val="00305535"/>
    <w:rsid w:val="0030724E"/>
    <w:rsid w:val="00307BA1"/>
    <w:rsid w:val="00310546"/>
    <w:rsid w:val="00311702"/>
    <w:rsid w:val="00311E82"/>
    <w:rsid w:val="00313C8A"/>
    <w:rsid w:val="00313F0D"/>
    <w:rsid w:val="00313FD6"/>
    <w:rsid w:val="003143BD"/>
    <w:rsid w:val="00315363"/>
    <w:rsid w:val="003153FA"/>
    <w:rsid w:val="0031596D"/>
    <w:rsid w:val="00315B92"/>
    <w:rsid w:val="00317069"/>
    <w:rsid w:val="003203ED"/>
    <w:rsid w:val="00320438"/>
    <w:rsid w:val="00320529"/>
    <w:rsid w:val="00322C9F"/>
    <w:rsid w:val="003232DA"/>
    <w:rsid w:val="003248C1"/>
    <w:rsid w:val="00324D23"/>
    <w:rsid w:val="00324E84"/>
    <w:rsid w:val="00326932"/>
    <w:rsid w:val="003278EE"/>
    <w:rsid w:val="00330EDC"/>
    <w:rsid w:val="00331751"/>
    <w:rsid w:val="00332815"/>
    <w:rsid w:val="00334228"/>
    <w:rsid w:val="00334579"/>
    <w:rsid w:val="00335858"/>
    <w:rsid w:val="00336BDA"/>
    <w:rsid w:val="0033781A"/>
    <w:rsid w:val="003400C9"/>
    <w:rsid w:val="00340BEB"/>
    <w:rsid w:val="00340F8F"/>
    <w:rsid w:val="00342BD7"/>
    <w:rsid w:val="003439DA"/>
    <w:rsid w:val="00343B5E"/>
    <w:rsid w:val="00345B9D"/>
    <w:rsid w:val="003464B2"/>
    <w:rsid w:val="00346DB5"/>
    <w:rsid w:val="003477B1"/>
    <w:rsid w:val="0035047A"/>
    <w:rsid w:val="003506BE"/>
    <w:rsid w:val="0035283F"/>
    <w:rsid w:val="0035347A"/>
    <w:rsid w:val="00354971"/>
    <w:rsid w:val="00355217"/>
    <w:rsid w:val="00357380"/>
    <w:rsid w:val="003602D9"/>
    <w:rsid w:val="003604CE"/>
    <w:rsid w:val="0036436D"/>
    <w:rsid w:val="00364A7E"/>
    <w:rsid w:val="00364D4D"/>
    <w:rsid w:val="003668A1"/>
    <w:rsid w:val="003668B2"/>
    <w:rsid w:val="00370E47"/>
    <w:rsid w:val="00371809"/>
    <w:rsid w:val="00371986"/>
    <w:rsid w:val="00372F07"/>
    <w:rsid w:val="00373B01"/>
    <w:rsid w:val="003742AC"/>
    <w:rsid w:val="00376281"/>
    <w:rsid w:val="003768BA"/>
    <w:rsid w:val="003770AD"/>
    <w:rsid w:val="00377CE1"/>
    <w:rsid w:val="0038187D"/>
    <w:rsid w:val="003835F3"/>
    <w:rsid w:val="00383623"/>
    <w:rsid w:val="003854B0"/>
    <w:rsid w:val="00385BF0"/>
    <w:rsid w:val="00387DE8"/>
    <w:rsid w:val="00392A7D"/>
    <w:rsid w:val="003935A0"/>
    <w:rsid w:val="003939FF"/>
    <w:rsid w:val="00396E47"/>
    <w:rsid w:val="00397C75"/>
    <w:rsid w:val="003A2223"/>
    <w:rsid w:val="003A2A0F"/>
    <w:rsid w:val="003A2E9B"/>
    <w:rsid w:val="003A45A1"/>
    <w:rsid w:val="003A4927"/>
    <w:rsid w:val="003A5B0A"/>
    <w:rsid w:val="003A60E6"/>
    <w:rsid w:val="003A6BAC"/>
    <w:rsid w:val="003A70A4"/>
    <w:rsid w:val="003A7EF3"/>
    <w:rsid w:val="003B1089"/>
    <w:rsid w:val="003B159C"/>
    <w:rsid w:val="003B2DFA"/>
    <w:rsid w:val="003B369F"/>
    <w:rsid w:val="003B36A3"/>
    <w:rsid w:val="003B4430"/>
    <w:rsid w:val="003B5FDE"/>
    <w:rsid w:val="003B64BB"/>
    <w:rsid w:val="003B6870"/>
    <w:rsid w:val="003B6E84"/>
    <w:rsid w:val="003B781B"/>
    <w:rsid w:val="003B78B9"/>
    <w:rsid w:val="003B796B"/>
    <w:rsid w:val="003B7FE5"/>
    <w:rsid w:val="003C055E"/>
    <w:rsid w:val="003C078B"/>
    <w:rsid w:val="003C11C8"/>
    <w:rsid w:val="003C12D7"/>
    <w:rsid w:val="003C2702"/>
    <w:rsid w:val="003C3425"/>
    <w:rsid w:val="003C4272"/>
    <w:rsid w:val="003C4E59"/>
    <w:rsid w:val="003C6386"/>
    <w:rsid w:val="003C7779"/>
    <w:rsid w:val="003C7806"/>
    <w:rsid w:val="003C7EA6"/>
    <w:rsid w:val="003D109F"/>
    <w:rsid w:val="003D20FD"/>
    <w:rsid w:val="003D23DE"/>
    <w:rsid w:val="003D2478"/>
    <w:rsid w:val="003D332F"/>
    <w:rsid w:val="003D3843"/>
    <w:rsid w:val="003D3C45"/>
    <w:rsid w:val="003D5B1F"/>
    <w:rsid w:val="003D6BC1"/>
    <w:rsid w:val="003E028A"/>
    <w:rsid w:val="003E10F0"/>
    <w:rsid w:val="003E11D1"/>
    <w:rsid w:val="003E15FA"/>
    <w:rsid w:val="003E165B"/>
    <w:rsid w:val="003E55E4"/>
    <w:rsid w:val="003E62C2"/>
    <w:rsid w:val="003E74B0"/>
    <w:rsid w:val="003E74E3"/>
    <w:rsid w:val="003E7C89"/>
    <w:rsid w:val="003F05C7"/>
    <w:rsid w:val="003F19BA"/>
    <w:rsid w:val="003F2CD4"/>
    <w:rsid w:val="003F3FCF"/>
    <w:rsid w:val="003F5409"/>
    <w:rsid w:val="003F6BBE"/>
    <w:rsid w:val="004000E8"/>
    <w:rsid w:val="004017E6"/>
    <w:rsid w:val="00402E2B"/>
    <w:rsid w:val="004047E9"/>
    <w:rsid w:val="0040512B"/>
    <w:rsid w:val="0040540D"/>
    <w:rsid w:val="00405CA5"/>
    <w:rsid w:val="00407CD3"/>
    <w:rsid w:val="00410134"/>
    <w:rsid w:val="00410B72"/>
    <w:rsid w:val="00410CE3"/>
    <w:rsid w:val="00410F18"/>
    <w:rsid w:val="004112E5"/>
    <w:rsid w:val="0041263E"/>
    <w:rsid w:val="00412AD6"/>
    <w:rsid w:val="00413AAC"/>
    <w:rsid w:val="00413E92"/>
    <w:rsid w:val="00414A7B"/>
    <w:rsid w:val="004152EC"/>
    <w:rsid w:val="00415EA2"/>
    <w:rsid w:val="00416744"/>
    <w:rsid w:val="00416B41"/>
    <w:rsid w:val="0042101E"/>
    <w:rsid w:val="00421105"/>
    <w:rsid w:val="00421574"/>
    <w:rsid w:val="00421C59"/>
    <w:rsid w:val="00422AA4"/>
    <w:rsid w:val="0042302A"/>
    <w:rsid w:val="00423241"/>
    <w:rsid w:val="004236E1"/>
    <w:rsid w:val="004242F4"/>
    <w:rsid w:val="004251B9"/>
    <w:rsid w:val="00425ACF"/>
    <w:rsid w:val="00425F12"/>
    <w:rsid w:val="00427248"/>
    <w:rsid w:val="00430FD9"/>
    <w:rsid w:val="004310F1"/>
    <w:rsid w:val="00431C80"/>
    <w:rsid w:val="004347B5"/>
    <w:rsid w:val="0043651E"/>
    <w:rsid w:val="0043661E"/>
    <w:rsid w:val="00436690"/>
    <w:rsid w:val="00437447"/>
    <w:rsid w:val="00440191"/>
    <w:rsid w:val="00440961"/>
    <w:rsid w:val="00440EC2"/>
    <w:rsid w:val="00441A92"/>
    <w:rsid w:val="00442674"/>
    <w:rsid w:val="00442CE5"/>
    <w:rsid w:val="004431DC"/>
    <w:rsid w:val="00443261"/>
    <w:rsid w:val="004438A6"/>
    <w:rsid w:val="00443BC7"/>
    <w:rsid w:val="00444F56"/>
    <w:rsid w:val="00446488"/>
    <w:rsid w:val="0044688F"/>
    <w:rsid w:val="00447412"/>
    <w:rsid w:val="00447829"/>
    <w:rsid w:val="00450C2D"/>
    <w:rsid w:val="004517AA"/>
    <w:rsid w:val="00451806"/>
    <w:rsid w:val="004524C2"/>
    <w:rsid w:val="00452CAC"/>
    <w:rsid w:val="00452EE6"/>
    <w:rsid w:val="00455862"/>
    <w:rsid w:val="0045625B"/>
    <w:rsid w:val="00457565"/>
    <w:rsid w:val="00457B71"/>
    <w:rsid w:val="00457FC8"/>
    <w:rsid w:val="0046013C"/>
    <w:rsid w:val="00462759"/>
    <w:rsid w:val="00464689"/>
    <w:rsid w:val="00464755"/>
    <w:rsid w:val="004669E2"/>
    <w:rsid w:val="00466C0E"/>
    <w:rsid w:val="00467441"/>
    <w:rsid w:val="00467D2E"/>
    <w:rsid w:val="00467E36"/>
    <w:rsid w:val="00470C31"/>
    <w:rsid w:val="00471DE0"/>
    <w:rsid w:val="00472C19"/>
    <w:rsid w:val="004734D0"/>
    <w:rsid w:val="004742A2"/>
    <w:rsid w:val="00474363"/>
    <w:rsid w:val="0047456F"/>
    <w:rsid w:val="00474A1B"/>
    <w:rsid w:val="00475237"/>
    <w:rsid w:val="0047556B"/>
    <w:rsid w:val="0047650B"/>
    <w:rsid w:val="004766C3"/>
    <w:rsid w:val="00476D53"/>
    <w:rsid w:val="00477768"/>
    <w:rsid w:val="00480C09"/>
    <w:rsid w:val="00481236"/>
    <w:rsid w:val="00482D0C"/>
    <w:rsid w:val="0048376D"/>
    <w:rsid w:val="004838BA"/>
    <w:rsid w:val="00485B68"/>
    <w:rsid w:val="00486E94"/>
    <w:rsid w:val="00486FBF"/>
    <w:rsid w:val="004871C7"/>
    <w:rsid w:val="00491988"/>
    <w:rsid w:val="00492BC5"/>
    <w:rsid w:val="0049305D"/>
    <w:rsid w:val="00493D02"/>
    <w:rsid w:val="00495074"/>
    <w:rsid w:val="00495482"/>
    <w:rsid w:val="004964F1"/>
    <w:rsid w:val="004A16BC"/>
    <w:rsid w:val="004A2502"/>
    <w:rsid w:val="004A2B94"/>
    <w:rsid w:val="004A2E53"/>
    <w:rsid w:val="004A4B33"/>
    <w:rsid w:val="004A63FC"/>
    <w:rsid w:val="004A7641"/>
    <w:rsid w:val="004A7B2F"/>
    <w:rsid w:val="004A7B6A"/>
    <w:rsid w:val="004B0BBD"/>
    <w:rsid w:val="004B0C6A"/>
    <w:rsid w:val="004B233E"/>
    <w:rsid w:val="004B25A1"/>
    <w:rsid w:val="004B312B"/>
    <w:rsid w:val="004B3D22"/>
    <w:rsid w:val="004B40A3"/>
    <w:rsid w:val="004B4970"/>
    <w:rsid w:val="004B4B28"/>
    <w:rsid w:val="004B6F6A"/>
    <w:rsid w:val="004B7C0C"/>
    <w:rsid w:val="004C06A4"/>
    <w:rsid w:val="004C18BF"/>
    <w:rsid w:val="004C1B76"/>
    <w:rsid w:val="004C209F"/>
    <w:rsid w:val="004C2654"/>
    <w:rsid w:val="004C3898"/>
    <w:rsid w:val="004C4172"/>
    <w:rsid w:val="004C52B1"/>
    <w:rsid w:val="004C5907"/>
    <w:rsid w:val="004C6358"/>
    <w:rsid w:val="004D0E48"/>
    <w:rsid w:val="004D1E3A"/>
    <w:rsid w:val="004D30E6"/>
    <w:rsid w:val="004D36B1"/>
    <w:rsid w:val="004D38DA"/>
    <w:rsid w:val="004D3A34"/>
    <w:rsid w:val="004D4E57"/>
    <w:rsid w:val="004D543C"/>
    <w:rsid w:val="004D6C92"/>
    <w:rsid w:val="004D7752"/>
    <w:rsid w:val="004D7EBD"/>
    <w:rsid w:val="004E04A6"/>
    <w:rsid w:val="004E2680"/>
    <w:rsid w:val="004E28F9"/>
    <w:rsid w:val="004E3493"/>
    <w:rsid w:val="004E462E"/>
    <w:rsid w:val="004E483C"/>
    <w:rsid w:val="004E56DC"/>
    <w:rsid w:val="004E5E82"/>
    <w:rsid w:val="004E76F4"/>
    <w:rsid w:val="004F0039"/>
    <w:rsid w:val="004F0B4E"/>
    <w:rsid w:val="004F0B6C"/>
    <w:rsid w:val="004F0E11"/>
    <w:rsid w:val="004F111A"/>
    <w:rsid w:val="004F113B"/>
    <w:rsid w:val="004F2078"/>
    <w:rsid w:val="004F388A"/>
    <w:rsid w:val="004F4083"/>
    <w:rsid w:val="004F4DA3"/>
    <w:rsid w:val="005013B4"/>
    <w:rsid w:val="00501758"/>
    <w:rsid w:val="005022F4"/>
    <w:rsid w:val="005040F1"/>
    <w:rsid w:val="0050413C"/>
    <w:rsid w:val="0050496A"/>
    <w:rsid w:val="00506145"/>
    <w:rsid w:val="00506557"/>
    <w:rsid w:val="0050677A"/>
    <w:rsid w:val="00507940"/>
    <w:rsid w:val="00507B80"/>
    <w:rsid w:val="005108D8"/>
    <w:rsid w:val="005116F9"/>
    <w:rsid w:val="00511B59"/>
    <w:rsid w:val="00511CEF"/>
    <w:rsid w:val="0051204A"/>
    <w:rsid w:val="005135F7"/>
    <w:rsid w:val="00513867"/>
    <w:rsid w:val="005139E1"/>
    <w:rsid w:val="00513DBE"/>
    <w:rsid w:val="0051461B"/>
    <w:rsid w:val="00514BEF"/>
    <w:rsid w:val="005153A7"/>
    <w:rsid w:val="0051561A"/>
    <w:rsid w:val="005161A0"/>
    <w:rsid w:val="005215DF"/>
    <w:rsid w:val="005219CF"/>
    <w:rsid w:val="00523F91"/>
    <w:rsid w:val="0052500B"/>
    <w:rsid w:val="00525C0D"/>
    <w:rsid w:val="00526A7C"/>
    <w:rsid w:val="00534B59"/>
    <w:rsid w:val="00536759"/>
    <w:rsid w:val="00536953"/>
    <w:rsid w:val="0053730E"/>
    <w:rsid w:val="00537C62"/>
    <w:rsid w:val="00543BBB"/>
    <w:rsid w:val="00544700"/>
    <w:rsid w:val="0054497C"/>
    <w:rsid w:val="00545142"/>
    <w:rsid w:val="00546970"/>
    <w:rsid w:val="005470D9"/>
    <w:rsid w:val="0054743D"/>
    <w:rsid w:val="005536EC"/>
    <w:rsid w:val="00554E19"/>
    <w:rsid w:val="00555136"/>
    <w:rsid w:val="005552D2"/>
    <w:rsid w:val="00557415"/>
    <w:rsid w:val="005575DD"/>
    <w:rsid w:val="0056121F"/>
    <w:rsid w:val="00565547"/>
    <w:rsid w:val="005664C6"/>
    <w:rsid w:val="00566EEC"/>
    <w:rsid w:val="00572505"/>
    <w:rsid w:val="005735BD"/>
    <w:rsid w:val="005747EF"/>
    <w:rsid w:val="00580DDF"/>
    <w:rsid w:val="0058181E"/>
    <w:rsid w:val="00582809"/>
    <w:rsid w:val="00586E2A"/>
    <w:rsid w:val="0058798C"/>
    <w:rsid w:val="005900FA"/>
    <w:rsid w:val="00592998"/>
    <w:rsid w:val="005935A4"/>
    <w:rsid w:val="00593954"/>
    <w:rsid w:val="0059436D"/>
    <w:rsid w:val="005943AE"/>
    <w:rsid w:val="005948C2"/>
    <w:rsid w:val="0059492D"/>
    <w:rsid w:val="00594B5B"/>
    <w:rsid w:val="00595DCA"/>
    <w:rsid w:val="0059779B"/>
    <w:rsid w:val="005A1F19"/>
    <w:rsid w:val="005A209A"/>
    <w:rsid w:val="005A4662"/>
    <w:rsid w:val="005A63F6"/>
    <w:rsid w:val="005A662D"/>
    <w:rsid w:val="005A769C"/>
    <w:rsid w:val="005B0911"/>
    <w:rsid w:val="005B1409"/>
    <w:rsid w:val="005B181A"/>
    <w:rsid w:val="005B35D7"/>
    <w:rsid w:val="005B392A"/>
    <w:rsid w:val="005B3AA3"/>
    <w:rsid w:val="005B3FA2"/>
    <w:rsid w:val="005B6F83"/>
    <w:rsid w:val="005B77A6"/>
    <w:rsid w:val="005C037C"/>
    <w:rsid w:val="005C055E"/>
    <w:rsid w:val="005C293C"/>
    <w:rsid w:val="005C4170"/>
    <w:rsid w:val="005C41FF"/>
    <w:rsid w:val="005C594A"/>
    <w:rsid w:val="005C6D2B"/>
    <w:rsid w:val="005C74FB"/>
    <w:rsid w:val="005D0CC0"/>
    <w:rsid w:val="005D11FE"/>
    <w:rsid w:val="005D1602"/>
    <w:rsid w:val="005D2F20"/>
    <w:rsid w:val="005D6085"/>
    <w:rsid w:val="005D6C5B"/>
    <w:rsid w:val="005D7631"/>
    <w:rsid w:val="005E1CF5"/>
    <w:rsid w:val="005E2046"/>
    <w:rsid w:val="005E385F"/>
    <w:rsid w:val="005E3F7F"/>
    <w:rsid w:val="005E42B9"/>
    <w:rsid w:val="005E47A6"/>
    <w:rsid w:val="005E5B81"/>
    <w:rsid w:val="005E5D3C"/>
    <w:rsid w:val="005F0299"/>
    <w:rsid w:val="005F038B"/>
    <w:rsid w:val="005F16C2"/>
    <w:rsid w:val="005F1A47"/>
    <w:rsid w:val="005F20D1"/>
    <w:rsid w:val="005F23CD"/>
    <w:rsid w:val="005F2CB1"/>
    <w:rsid w:val="005F3025"/>
    <w:rsid w:val="005F34BE"/>
    <w:rsid w:val="005F618C"/>
    <w:rsid w:val="005F70BD"/>
    <w:rsid w:val="006009B7"/>
    <w:rsid w:val="00600E15"/>
    <w:rsid w:val="006017BE"/>
    <w:rsid w:val="0060283C"/>
    <w:rsid w:val="00602DFB"/>
    <w:rsid w:val="00604F14"/>
    <w:rsid w:val="00605145"/>
    <w:rsid w:val="0060598C"/>
    <w:rsid w:val="006108A5"/>
    <w:rsid w:val="00611B83"/>
    <w:rsid w:val="00612F64"/>
    <w:rsid w:val="00613257"/>
    <w:rsid w:val="00613E80"/>
    <w:rsid w:val="0061400D"/>
    <w:rsid w:val="0061402E"/>
    <w:rsid w:val="00614613"/>
    <w:rsid w:val="00620A71"/>
    <w:rsid w:val="00620C33"/>
    <w:rsid w:val="00620D80"/>
    <w:rsid w:val="00621206"/>
    <w:rsid w:val="00621ECE"/>
    <w:rsid w:val="0062230E"/>
    <w:rsid w:val="006233E0"/>
    <w:rsid w:val="006234A6"/>
    <w:rsid w:val="00623763"/>
    <w:rsid w:val="00623E6C"/>
    <w:rsid w:val="006244D8"/>
    <w:rsid w:val="006275ED"/>
    <w:rsid w:val="00627679"/>
    <w:rsid w:val="00630001"/>
    <w:rsid w:val="00630668"/>
    <w:rsid w:val="006311B3"/>
    <w:rsid w:val="0063127B"/>
    <w:rsid w:val="00631D64"/>
    <w:rsid w:val="0063284C"/>
    <w:rsid w:val="00632B07"/>
    <w:rsid w:val="00634B7C"/>
    <w:rsid w:val="00636398"/>
    <w:rsid w:val="006363DD"/>
    <w:rsid w:val="006368D3"/>
    <w:rsid w:val="006377EC"/>
    <w:rsid w:val="0064151F"/>
    <w:rsid w:val="00641533"/>
    <w:rsid w:val="0064208D"/>
    <w:rsid w:val="00642ADF"/>
    <w:rsid w:val="00642B11"/>
    <w:rsid w:val="00643475"/>
    <w:rsid w:val="00643803"/>
    <w:rsid w:val="0064396A"/>
    <w:rsid w:val="00644BF1"/>
    <w:rsid w:val="0064624E"/>
    <w:rsid w:val="00646595"/>
    <w:rsid w:val="00646E4F"/>
    <w:rsid w:val="00647667"/>
    <w:rsid w:val="00647EB3"/>
    <w:rsid w:val="00650AB9"/>
    <w:rsid w:val="00651410"/>
    <w:rsid w:val="00653F47"/>
    <w:rsid w:val="006555E4"/>
    <w:rsid w:val="00655733"/>
    <w:rsid w:val="00655ACD"/>
    <w:rsid w:val="00656A92"/>
    <w:rsid w:val="00656AEE"/>
    <w:rsid w:val="00656DDE"/>
    <w:rsid w:val="006572AF"/>
    <w:rsid w:val="0066011D"/>
    <w:rsid w:val="006607C0"/>
    <w:rsid w:val="006613A6"/>
    <w:rsid w:val="006616A8"/>
    <w:rsid w:val="006619DC"/>
    <w:rsid w:val="006624B7"/>
    <w:rsid w:val="006627A2"/>
    <w:rsid w:val="006628B0"/>
    <w:rsid w:val="00663162"/>
    <w:rsid w:val="006634E6"/>
    <w:rsid w:val="00664930"/>
    <w:rsid w:val="006655EE"/>
    <w:rsid w:val="00667EE7"/>
    <w:rsid w:val="00670922"/>
    <w:rsid w:val="00670BE1"/>
    <w:rsid w:val="0067218F"/>
    <w:rsid w:val="006739AB"/>
    <w:rsid w:val="00673E5C"/>
    <w:rsid w:val="006741F2"/>
    <w:rsid w:val="00674CC3"/>
    <w:rsid w:val="00675C72"/>
    <w:rsid w:val="006771F9"/>
    <w:rsid w:val="006776D7"/>
    <w:rsid w:val="00677827"/>
    <w:rsid w:val="00680A70"/>
    <w:rsid w:val="00681003"/>
    <w:rsid w:val="006817C9"/>
    <w:rsid w:val="0068218A"/>
    <w:rsid w:val="0068280E"/>
    <w:rsid w:val="00683ECE"/>
    <w:rsid w:val="00685505"/>
    <w:rsid w:val="00686430"/>
    <w:rsid w:val="006931BD"/>
    <w:rsid w:val="006957F0"/>
    <w:rsid w:val="006959D4"/>
    <w:rsid w:val="00695FC2"/>
    <w:rsid w:val="00696949"/>
    <w:rsid w:val="00697052"/>
    <w:rsid w:val="006A2849"/>
    <w:rsid w:val="006A2A90"/>
    <w:rsid w:val="006A33AD"/>
    <w:rsid w:val="006A46FB"/>
    <w:rsid w:val="006A59E5"/>
    <w:rsid w:val="006A5E28"/>
    <w:rsid w:val="006A656B"/>
    <w:rsid w:val="006A65B7"/>
    <w:rsid w:val="006A697B"/>
    <w:rsid w:val="006A7AFF"/>
    <w:rsid w:val="006B0F4C"/>
    <w:rsid w:val="006B1816"/>
    <w:rsid w:val="006B2099"/>
    <w:rsid w:val="006B34B8"/>
    <w:rsid w:val="006B4134"/>
    <w:rsid w:val="006B50CF"/>
    <w:rsid w:val="006B5980"/>
    <w:rsid w:val="006B59A2"/>
    <w:rsid w:val="006B5F2D"/>
    <w:rsid w:val="006B6721"/>
    <w:rsid w:val="006C03B8"/>
    <w:rsid w:val="006C1B56"/>
    <w:rsid w:val="006C1E95"/>
    <w:rsid w:val="006C42B1"/>
    <w:rsid w:val="006C4373"/>
    <w:rsid w:val="006C54DC"/>
    <w:rsid w:val="006C582A"/>
    <w:rsid w:val="006C5EC9"/>
    <w:rsid w:val="006C6059"/>
    <w:rsid w:val="006C7522"/>
    <w:rsid w:val="006C76D4"/>
    <w:rsid w:val="006D0663"/>
    <w:rsid w:val="006D1959"/>
    <w:rsid w:val="006D4A66"/>
    <w:rsid w:val="006D501E"/>
    <w:rsid w:val="006D5EFD"/>
    <w:rsid w:val="006D61EC"/>
    <w:rsid w:val="006D6F08"/>
    <w:rsid w:val="006D76AF"/>
    <w:rsid w:val="006E062B"/>
    <w:rsid w:val="006E062C"/>
    <w:rsid w:val="006E0A92"/>
    <w:rsid w:val="006E0AA6"/>
    <w:rsid w:val="006E17A5"/>
    <w:rsid w:val="006E1C82"/>
    <w:rsid w:val="006E2221"/>
    <w:rsid w:val="006E28B7"/>
    <w:rsid w:val="006E2A82"/>
    <w:rsid w:val="006E2A9B"/>
    <w:rsid w:val="006E3310"/>
    <w:rsid w:val="006E3F13"/>
    <w:rsid w:val="006E4E39"/>
    <w:rsid w:val="006E565E"/>
    <w:rsid w:val="006E673D"/>
    <w:rsid w:val="006E78EA"/>
    <w:rsid w:val="006E7D3B"/>
    <w:rsid w:val="006F075E"/>
    <w:rsid w:val="006F0E73"/>
    <w:rsid w:val="006F1299"/>
    <w:rsid w:val="006F1B70"/>
    <w:rsid w:val="006F1E33"/>
    <w:rsid w:val="006F2D81"/>
    <w:rsid w:val="006F341D"/>
    <w:rsid w:val="006F3BC7"/>
    <w:rsid w:val="006F3CDE"/>
    <w:rsid w:val="006F4A0E"/>
    <w:rsid w:val="006F58D4"/>
    <w:rsid w:val="006F6582"/>
    <w:rsid w:val="00700B96"/>
    <w:rsid w:val="0070191F"/>
    <w:rsid w:val="00701A54"/>
    <w:rsid w:val="00701EBE"/>
    <w:rsid w:val="0070230C"/>
    <w:rsid w:val="0070346E"/>
    <w:rsid w:val="00703D0A"/>
    <w:rsid w:val="00704EDB"/>
    <w:rsid w:val="00706101"/>
    <w:rsid w:val="00707072"/>
    <w:rsid w:val="007073E3"/>
    <w:rsid w:val="00707D61"/>
    <w:rsid w:val="00710FFE"/>
    <w:rsid w:val="00712287"/>
    <w:rsid w:val="00712772"/>
    <w:rsid w:val="00712E34"/>
    <w:rsid w:val="0071377A"/>
    <w:rsid w:val="007148D3"/>
    <w:rsid w:val="007155AA"/>
    <w:rsid w:val="00715B9A"/>
    <w:rsid w:val="00715D8D"/>
    <w:rsid w:val="00716176"/>
    <w:rsid w:val="0071771A"/>
    <w:rsid w:val="0071790E"/>
    <w:rsid w:val="007202A5"/>
    <w:rsid w:val="00721963"/>
    <w:rsid w:val="00721B32"/>
    <w:rsid w:val="0072284D"/>
    <w:rsid w:val="007232A6"/>
    <w:rsid w:val="00723A14"/>
    <w:rsid w:val="00724E37"/>
    <w:rsid w:val="007257D0"/>
    <w:rsid w:val="00725BB7"/>
    <w:rsid w:val="00726EA6"/>
    <w:rsid w:val="00727208"/>
    <w:rsid w:val="007275D1"/>
    <w:rsid w:val="00727680"/>
    <w:rsid w:val="00730223"/>
    <w:rsid w:val="00731306"/>
    <w:rsid w:val="00732028"/>
    <w:rsid w:val="007330AC"/>
    <w:rsid w:val="007348B1"/>
    <w:rsid w:val="00734BEA"/>
    <w:rsid w:val="007362A6"/>
    <w:rsid w:val="007369F7"/>
    <w:rsid w:val="00736D7D"/>
    <w:rsid w:val="00740E58"/>
    <w:rsid w:val="00741442"/>
    <w:rsid w:val="00742EB5"/>
    <w:rsid w:val="007445A0"/>
    <w:rsid w:val="00744903"/>
    <w:rsid w:val="00744A7D"/>
    <w:rsid w:val="007450C9"/>
    <w:rsid w:val="0074524B"/>
    <w:rsid w:val="007455CE"/>
    <w:rsid w:val="00745BAA"/>
    <w:rsid w:val="00746285"/>
    <w:rsid w:val="00747D8B"/>
    <w:rsid w:val="00747FE8"/>
    <w:rsid w:val="00750DC8"/>
    <w:rsid w:val="00751228"/>
    <w:rsid w:val="00751A72"/>
    <w:rsid w:val="0075565D"/>
    <w:rsid w:val="00755749"/>
    <w:rsid w:val="0075641D"/>
    <w:rsid w:val="007571E1"/>
    <w:rsid w:val="007604B2"/>
    <w:rsid w:val="0076064B"/>
    <w:rsid w:val="007618FE"/>
    <w:rsid w:val="00761DAE"/>
    <w:rsid w:val="0076298B"/>
    <w:rsid w:val="00762CAF"/>
    <w:rsid w:val="0076423F"/>
    <w:rsid w:val="007649F4"/>
    <w:rsid w:val="0076503D"/>
    <w:rsid w:val="00765281"/>
    <w:rsid w:val="00766BAD"/>
    <w:rsid w:val="007729A2"/>
    <w:rsid w:val="007739A6"/>
    <w:rsid w:val="007755F2"/>
    <w:rsid w:val="00775F7C"/>
    <w:rsid w:val="007766D7"/>
    <w:rsid w:val="00776971"/>
    <w:rsid w:val="00776C0E"/>
    <w:rsid w:val="00777D7B"/>
    <w:rsid w:val="00780A80"/>
    <w:rsid w:val="0078177E"/>
    <w:rsid w:val="007819E3"/>
    <w:rsid w:val="00781BA8"/>
    <w:rsid w:val="007827A3"/>
    <w:rsid w:val="0078304C"/>
    <w:rsid w:val="00783673"/>
    <w:rsid w:val="00784ADF"/>
    <w:rsid w:val="0078511E"/>
    <w:rsid w:val="00785490"/>
    <w:rsid w:val="00786D65"/>
    <w:rsid w:val="0079197E"/>
    <w:rsid w:val="007925EA"/>
    <w:rsid w:val="00793CD8"/>
    <w:rsid w:val="00795909"/>
    <w:rsid w:val="00795AF7"/>
    <w:rsid w:val="00795C92"/>
    <w:rsid w:val="00796231"/>
    <w:rsid w:val="00796A4F"/>
    <w:rsid w:val="00797F46"/>
    <w:rsid w:val="007A08F2"/>
    <w:rsid w:val="007A0B0A"/>
    <w:rsid w:val="007A11AF"/>
    <w:rsid w:val="007A1CB3"/>
    <w:rsid w:val="007A1D4B"/>
    <w:rsid w:val="007A306F"/>
    <w:rsid w:val="007A43A6"/>
    <w:rsid w:val="007A44B6"/>
    <w:rsid w:val="007A4FC4"/>
    <w:rsid w:val="007A58A6"/>
    <w:rsid w:val="007A67B2"/>
    <w:rsid w:val="007B0663"/>
    <w:rsid w:val="007B133F"/>
    <w:rsid w:val="007B18B7"/>
    <w:rsid w:val="007B224E"/>
    <w:rsid w:val="007B3D2D"/>
    <w:rsid w:val="007B3FD8"/>
    <w:rsid w:val="007B50AE"/>
    <w:rsid w:val="007B51DF"/>
    <w:rsid w:val="007B5694"/>
    <w:rsid w:val="007B5FE3"/>
    <w:rsid w:val="007B7E4C"/>
    <w:rsid w:val="007B7F57"/>
    <w:rsid w:val="007C00B0"/>
    <w:rsid w:val="007C05DD"/>
    <w:rsid w:val="007C1075"/>
    <w:rsid w:val="007C2A97"/>
    <w:rsid w:val="007C2CE0"/>
    <w:rsid w:val="007C371E"/>
    <w:rsid w:val="007C3D18"/>
    <w:rsid w:val="007C4864"/>
    <w:rsid w:val="007C5A2A"/>
    <w:rsid w:val="007C5F4C"/>
    <w:rsid w:val="007C60BF"/>
    <w:rsid w:val="007C6A07"/>
    <w:rsid w:val="007C7013"/>
    <w:rsid w:val="007C712C"/>
    <w:rsid w:val="007C75A1"/>
    <w:rsid w:val="007C77A5"/>
    <w:rsid w:val="007D0271"/>
    <w:rsid w:val="007D04E5"/>
    <w:rsid w:val="007D28E8"/>
    <w:rsid w:val="007D3C6C"/>
    <w:rsid w:val="007D5353"/>
    <w:rsid w:val="007D5901"/>
    <w:rsid w:val="007D7526"/>
    <w:rsid w:val="007E0751"/>
    <w:rsid w:val="007E0845"/>
    <w:rsid w:val="007E15B1"/>
    <w:rsid w:val="007E1750"/>
    <w:rsid w:val="007E40D4"/>
    <w:rsid w:val="007E4140"/>
    <w:rsid w:val="007E4610"/>
    <w:rsid w:val="007E4715"/>
    <w:rsid w:val="007E505B"/>
    <w:rsid w:val="007E58E7"/>
    <w:rsid w:val="007E5DAE"/>
    <w:rsid w:val="007E7091"/>
    <w:rsid w:val="007E7FB4"/>
    <w:rsid w:val="007F2AFA"/>
    <w:rsid w:val="007F304A"/>
    <w:rsid w:val="007F4876"/>
    <w:rsid w:val="007F5A75"/>
    <w:rsid w:val="007F6487"/>
    <w:rsid w:val="007F6EAA"/>
    <w:rsid w:val="007F7E01"/>
    <w:rsid w:val="008020E2"/>
    <w:rsid w:val="00803028"/>
    <w:rsid w:val="008037BE"/>
    <w:rsid w:val="00803FAE"/>
    <w:rsid w:val="008047F8"/>
    <w:rsid w:val="00804BC2"/>
    <w:rsid w:val="00804D93"/>
    <w:rsid w:val="00804F0D"/>
    <w:rsid w:val="0080605F"/>
    <w:rsid w:val="00807786"/>
    <w:rsid w:val="00807BED"/>
    <w:rsid w:val="0081036D"/>
    <w:rsid w:val="00810B35"/>
    <w:rsid w:val="00811FCB"/>
    <w:rsid w:val="00812DE5"/>
    <w:rsid w:val="00814207"/>
    <w:rsid w:val="00815211"/>
    <w:rsid w:val="008158D6"/>
    <w:rsid w:val="00817196"/>
    <w:rsid w:val="00817300"/>
    <w:rsid w:val="008177E8"/>
    <w:rsid w:val="00821590"/>
    <w:rsid w:val="00822306"/>
    <w:rsid w:val="008235DB"/>
    <w:rsid w:val="00823EAA"/>
    <w:rsid w:val="00824AB4"/>
    <w:rsid w:val="00825241"/>
    <w:rsid w:val="00825C42"/>
    <w:rsid w:val="00825D25"/>
    <w:rsid w:val="00827556"/>
    <w:rsid w:val="00827D6F"/>
    <w:rsid w:val="00830242"/>
    <w:rsid w:val="00830310"/>
    <w:rsid w:val="0083076E"/>
    <w:rsid w:val="00831590"/>
    <w:rsid w:val="008342AD"/>
    <w:rsid w:val="0083546B"/>
    <w:rsid w:val="00835B24"/>
    <w:rsid w:val="008376AC"/>
    <w:rsid w:val="008429FD"/>
    <w:rsid w:val="00843912"/>
    <w:rsid w:val="008444E8"/>
    <w:rsid w:val="00844E80"/>
    <w:rsid w:val="00846FE7"/>
    <w:rsid w:val="008472FE"/>
    <w:rsid w:val="008511A2"/>
    <w:rsid w:val="00851ACB"/>
    <w:rsid w:val="008536DF"/>
    <w:rsid w:val="0085509A"/>
    <w:rsid w:val="00855918"/>
    <w:rsid w:val="00856911"/>
    <w:rsid w:val="00856F75"/>
    <w:rsid w:val="00857CD2"/>
    <w:rsid w:val="00857CFC"/>
    <w:rsid w:val="00857EF5"/>
    <w:rsid w:val="00861C81"/>
    <w:rsid w:val="0086351C"/>
    <w:rsid w:val="00863EC2"/>
    <w:rsid w:val="00864BA8"/>
    <w:rsid w:val="00866ABC"/>
    <w:rsid w:val="008677FD"/>
    <w:rsid w:val="00867C13"/>
    <w:rsid w:val="00867E03"/>
    <w:rsid w:val="00867F74"/>
    <w:rsid w:val="008706D4"/>
    <w:rsid w:val="00870F8A"/>
    <w:rsid w:val="0087155E"/>
    <w:rsid w:val="008719A4"/>
    <w:rsid w:val="00871D23"/>
    <w:rsid w:val="00872B78"/>
    <w:rsid w:val="00874312"/>
    <w:rsid w:val="0087437C"/>
    <w:rsid w:val="00874641"/>
    <w:rsid w:val="008758C8"/>
    <w:rsid w:val="00875CD7"/>
    <w:rsid w:val="00876B4D"/>
    <w:rsid w:val="00877750"/>
    <w:rsid w:val="008778DE"/>
    <w:rsid w:val="00877F18"/>
    <w:rsid w:val="008800D7"/>
    <w:rsid w:val="00881238"/>
    <w:rsid w:val="00881A64"/>
    <w:rsid w:val="00882402"/>
    <w:rsid w:val="0088510F"/>
    <w:rsid w:val="0088538B"/>
    <w:rsid w:val="00886749"/>
    <w:rsid w:val="0088721C"/>
    <w:rsid w:val="0089028A"/>
    <w:rsid w:val="008906D7"/>
    <w:rsid w:val="00890820"/>
    <w:rsid w:val="00890BBD"/>
    <w:rsid w:val="00890EF2"/>
    <w:rsid w:val="008936B9"/>
    <w:rsid w:val="008941E3"/>
    <w:rsid w:val="00894A1D"/>
    <w:rsid w:val="00894A88"/>
    <w:rsid w:val="0089509F"/>
    <w:rsid w:val="00895386"/>
    <w:rsid w:val="00896B15"/>
    <w:rsid w:val="00897016"/>
    <w:rsid w:val="00897E72"/>
    <w:rsid w:val="008A0B6C"/>
    <w:rsid w:val="008A0FF6"/>
    <w:rsid w:val="008A21FF"/>
    <w:rsid w:val="008A2CE2"/>
    <w:rsid w:val="008A30AC"/>
    <w:rsid w:val="008A3198"/>
    <w:rsid w:val="008A4466"/>
    <w:rsid w:val="008A44B8"/>
    <w:rsid w:val="008A4A23"/>
    <w:rsid w:val="008A51A8"/>
    <w:rsid w:val="008A54C7"/>
    <w:rsid w:val="008A59EC"/>
    <w:rsid w:val="008A61AC"/>
    <w:rsid w:val="008A6408"/>
    <w:rsid w:val="008A77D8"/>
    <w:rsid w:val="008B0483"/>
    <w:rsid w:val="008B0513"/>
    <w:rsid w:val="008B0665"/>
    <w:rsid w:val="008B08B5"/>
    <w:rsid w:val="008B0D35"/>
    <w:rsid w:val="008B120C"/>
    <w:rsid w:val="008B22A3"/>
    <w:rsid w:val="008B2840"/>
    <w:rsid w:val="008B3186"/>
    <w:rsid w:val="008B3E61"/>
    <w:rsid w:val="008B518C"/>
    <w:rsid w:val="008B51A0"/>
    <w:rsid w:val="008B592A"/>
    <w:rsid w:val="008B5FB4"/>
    <w:rsid w:val="008B5FE0"/>
    <w:rsid w:val="008B6CF5"/>
    <w:rsid w:val="008B7B5C"/>
    <w:rsid w:val="008C0C99"/>
    <w:rsid w:val="008C2017"/>
    <w:rsid w:val="008C4958"/>
    <w:rsid w:val="008C4BAA"/>
    <w:rsid w:val="008C5111"/>
    <w:rsid w:val="008C5C43"/>
    <w:rsid w:val="008C6AE8"/>
    <w:rsid w:val="008C7573"/>
    <w:rsid w:val="008D00A5"/>
    <w:rsid w:val="008D0379"/>
    <w:rsid w:val="008D19CD"/>
    <w:rsid w:val="008D319D"/>
    <w:rsid w:val="008D34F1"/>
    <w:rsid w:val="008D39D8"/>
    <w:rsid w:val="008D4F47"/>
    <w:rsid w:val="008D626B"/>
    <w:rsid w:val="008D6D1A"/>
    <w:rsid w:val="008D6EAC"/>
    <w:rsid w:val="008D7446"/>
    <w:rsid w:val="008D7D37"/>
    <w:rsid w:val="008E065E"/>
    <w:rsid w:val="008E0927"/>
    <w:rsid w:val="008E0BB4"/>
    <w:rsid w:val="008E10BF"/>
    <w:rsid w:val="008E16B4"/>
    <w:rsid w:val="008E1909"/>
    <w:rsid w:val="008E3F25"/>
    <w:rsid w:val="008E5FF9"/>
    <w:rsid w:val="008F1036"/>
    <w:rsid w:val="008F13C5"/>
    <w:rsid w:val="008F17BE"/>
    <w:rsid w:val="008F1C4E"/>
    <w:rsid w:val="008F1CB9"/>
    <w:rsid w:val="008F1EAB"/>
    <w:rsid w:val="008F33DC"/>
    <w:rsid w:val="008F366B"/>
    <w:rsid w:val="008F3B5A"/>
    <w:rsid w:val="008F423F"/>
    <w:rsid w:val="008F477F"/>
    <w:rsid w:val="008F50A1"/>
    <w:rsid w:val="008F59B7"/>
    <w:rsid w:val="008F5AE4"/>
    <w:rsid w:val="008F74AC"/>
    <w:rsid w:val="008F7F8B"/>
    <w:rsid w:val="0090024C"/>
    <w:rsid w:val="00900DC0"/>
    <w:rsid w:val="00901834"/>
    <w:rsid w:val="00902303"/>
    <w:rsid w:val="00902350"/>
    <w:rsid w:val="009031B8"/>
    <w:rsid w:val="0090336B"/>
    <w:rsid w:val="00905037"/>
    <w:rsid w:val="0090523C"/>
    <w:rsid w:val="009053AA"/>
    <w:rsid w:val="009055C6"/>
    <w:rsid w:val="009057C2"/>
    <w:rsid w:val="00905BCB"/>
    <w:rsid w:val="009064C9"/>
    <w:rsid w:val="00906939"/>
    <w:rsid w:val="00910B7D"/>
    <w:rsid w:val="0091111E"/>
    <w:rsid w:val="00911DFB"/>
    <w:rsid w:val="009139D9"/>
    <w:rsid w:val="00914118"/>
    <w:rsid w:val="00914AD8"/>
    <w:rsid w:val="00916079"/>
    <w:rsid w:val="00917355"/>
    <w:rsid w:val="00917A52"/>
    <w:rsid w:val="00917CE9"/>
    <w:rsid w:val="0092075B"/>
    <w:rsid w:val="00920BF2"/>
    <w:rsid w:val="00922008"/>
    <w:rsid w:val="00922010"/>
    <w:rsid w:val="00923B6B"/>
    <w:rsid w:val="00923E4D"/>
    <w:rsid w:val="00925073"/>
    <w:rsid w:val="0092523E"/>
    <w:rsid w:val="00925975"/>
    <w:rsid w:val="00926B54"/>
    <w:rsid w:val="009304F6"/>
    <w:rsid w:val="00931BD9"/>
    <w:rsid w:val="00932AD5"/>
    <w:rsid w:val="009335C4"/>
    <w:rsid w:val="00934715"/>
    <w:rsid w:val="0093556E"/>
    <w:rsid w:val="00935B08"/>
    <w:rsid w:val="009368F3"/>
    <w:rsid w:val="00936AAC"/>
    <w:rsid w:val="00937189"/>
    <w:rsid w:val="00940321"/>
    <w:rsid w:val="0094121C"/>
    <w:rsid w:val="00941636"/>
    <w:rsid w:val="009434B4"/>
    <w:rsid w:val="00943742"/>
    <w:rsid w:val="009459B0"/>
    <w:rsid w:val="00945C05"/>
    <w:rsid w:val="00946174"/>
    <w:rsid w:val="00946945"/>
    <w:rsid w:val="009475B9"/>
    <w:rsid w:val="00947713"/>
    <w:rsid w:val="009505EE"/>
    <w:rsid w:val="00950DE7"/>
    <w:rsid w:val="00951371"/>
    <w:rsid w:val="009515EE"/>
    <w:rsid w:val="00951F3A"/>
    <w:rsid w:val="00952983"/>
    <w:rsid w:val="0095385A"/>
    <w:rsid w:val="00953920"/>
    <w:rsid w:val="00953D47"/>
    <w:rsid w:val="009562AA"/>
    <w:rsid w:val="0095681E"/>
    <w:rsid w:val="009572D4"/>
    <w:rsid w:val="00957CF4"/>
    <w:rsid w:val="00957EE7"/>
    <w:rsid w:val="00961921"/>
    <w:rsid w:val="00963ACD"/>
    <w:rsid w:val="0096430A"/>
    <w:rsid w:val="00964BB9"/>
    <w:rsid w:val="00964D32"/>
    <w:rsid w:val="00965075"/>
    <w:rsid w:val="0096554B"/>
    <w:rsid w:val="0096584A"/>
    <w:rsid w:val="0096595B"/>
    <w:rsid w:val="0096790A"/>
    <w:rsid w:val="0097004F"/>
    <w:rsid w:val="0097090C"/>
    <w:rsid w:val="00971F08"/>
    <w:rsid w:val="009721EC"/>
    <w:rsid w:val="00972211"/>
    <w:rsid w:val="009734F6"/>
    <w:rsid w:val="0097484E"/>
    <w:rsid w:val="00975CE3"/>
    <w:rsid w:val="0097603D"/>
    <w:rsid w:val="00976949"/>
    <w:rsid w:val="00977061"/>
    <w:rsid w:val="00977968"/>
    <w:rsid w:val="00980477"/>
    <w:rsid w:val="00981382"/>
    <w:rsid w:val="00981D48"/>
    <w:rsid w:val="0098315E"/>
    <w:rsid w:val="00984474"/>
    <w:rsid w:val="00985039"/>
    <w:rsid w:val="00985253"/>
    <w:rsid w:val="009853B3"/>
    <w:rsid w:val="009854C3"/>
    <w:rsid w:val="00986144"/>
    <w:rsid w:val="00987244"/>
    <w:rsid w:val="00990630"/>
    <w:rsid w:val="00991761"/>
    <w:rsid w:val="009927DF"/>
    <w:rsid w:val="00994DCA"/>
    <w:rsid w:val="0099565A"/>
    <w:rsid w:val="009956CC"/>
    <w:rsid w:val="0099609F"/>
    <w:rsid w:val="009960EC"/>
    <w:rsid w:val="009970DD"/>
    <w:rsid w:val="009A0A3D"/>
    <w:rsid w:val="009A0FBA"/>
    <w:rsid w:val="009A159D"/>
    <w:rsid w:val="009A1601"/>
    <w:rsid w:val="009A1AA7"/>
    <w:rsid w:val="009A3512"/>
    <w:rsid w:val="009A3BB6"/>
    <w:rsid w:val="009A3F27"/>
    <w:rsid w:val="009A462D"/>
    <w:rsid w:val="009A5529"/>
    <w:rsid w:val="009A5CBA"/>
    <w:rsid w:val="009A61F4"/>
    <w:rsid w:val="009A6374"/>
    <w:rsid w:val="009B1F30"/>
    <w:rsid w:val="009B3852"/>
    <w:rsid w:val="009B3AC2"/>
    <w:rsid w:val="009B4DF4"/>
    <w:rsid w:val="009B564E"/>
    <w:rsid w:val="009B69A4"/>
    <w:rsid w:val="009B789F"/>
    <w:rsid w:val="009B7E87"/>
    <w:rsid w:val="009C0169"/>
    <w:rsid w:val="009C02AD"/>
    <w:rsid w:val="009C0304"/>
    <w:rsid w:val="009C0F24"/>
    <w:rsid w:val="009C277F"/>
    <w:rsid w:val="009C2F0A"/>
    <w:rsid w:val="009C403E"/>
    <w:rsid w:val="009C5045"/>
    <w:rsid w:val="009C611A"/>
    <w:rsid w:val="009C6E52"/>
    <w:rsid w:val="009C796B"/>
    <w:rsid w:val="009D14C6"/>
    <w:rsid w:val="009D4790"/>
    <w:rsid w:val="009D4FF0"/>
    <w:rsid w:val="009D53EB"/>
    <w:rsid w:val="009D6DDD"/>
    <w:rsid w:val="009D703C"/>
    <w:rsid w:val="009D718F"/>
    <w:rsid w:val="009D79E4"/>
    <w:rsid w:val="009E068F"/>
    <w:rsid w:val="009E14E0"/>
    <w:rsid w:val="009E1D41"/>
    <w:rsid w:val="009E29B6"/>
    <w:rsid w:val="009E320D"/>
    <w:rsid w:val="009E35DB"/>
    <w:rsid w:val="009E45FB"/>
    <w:rsid w:val="009E47A3"/>
    <w:rsid w:val="009E5824"/>
    <w:rsid w:val="009E68F7"/>
    <w:rsid w:val="009E7184"/>
    <w:rsid w:val="009E7D5A"/>
    <w:rsid w:val="009F08F3"/>
    <w:rsid w:val="009F344F"/>
    <w:rsid w:val="009F5B4D"/>
    <w:rsid w:val="009F7C1D"/>
    <w:rsid w:val="009F7D7C"/>
    <w:rsid w:val="00A01647"/>
    <w:rsid w:val="00A01C73"/>
    <w:rsid w:val="00A0212D"/>
    <w:rsid w:val="00A02E86"/>
    <w:rsid w:val="00A03116"/>
    <w:rsid w:val="00A031D8"/>
    <w:rsid w:val="00A048A8"/>
    <w:rsid w:val="00A04F49"/>
    <w:rsid w:val="00A0746C"/>
    <w:rsid w:val="00A12D5A"/>
    <w:rsid w:val="00A13D8C"/>
    <w:rsid w:val="00A13E54"/>
    <w:rsid w:val="00A15F0C"/>
    <w:rsid w:val="00A1664D"/>
    <w:rsid w:val="00A16E71"/>
    <w:rsid w:val="00A17411"/>
    <w:rsid w:val="00A1765A"/>
    <w:rsid w:val="00A17C6E"/>
    <w:rsid w:val="00A17F63"/>
    <w:rsid w:val="00A211B1"/>
    <w:rsid w:val="00A2193B"/>
    <w:rsid w:val="00A226AE"/>
    <w:rsid w:val="00A234C1"/>
    <w:rsid w:val="00A2351A"/>
    <w:rsid w:val="00A2424F"/>
    <w:rsid w:val="00A25E00"/>
    <w:rsid w:val="00A264A9"/>
    <w:rsid w:val="00A2671B"/>
    <w:rsid w:val="00A2684D"/>
    <w:rsid w:val="00A26DCF"/>
    <w:rsid w:val="00A27785"/>
    <w:rsid w:val="00A27799"/>
    <w:rsid w:val="00A30187"/>
    <w:rsid w:val="00A3262A"/>
    <w:rsid w:val="00A32776"/>
    <w:rsid w:val="00A32D6A"/>
    <w:rsid w:val="00A32FF8"/>
    <w:rsid w:val="00A33204"/>
    <w:rsid w:val="00A3448A"/>
    <w:rsid w:val="00A34EE1"/>
    <w:rsid w:val="00A36297"/>
    <w:rsid w:val="00A36AA3"/>
    <w:rsid w:val="00A36BCD"/>
    <w:rsid w:val="00A37811"/>
    <w:rsid w:val="00A37AEA"/>
    <w:rsid w:val="00A41E2B"/>
    <w:rsid w:val="00A42830"/>
    <w:rsid w:val="00A456C0"/>
    <w:rsid w:val="00A45B74"/>
    <w:rsid w:val="00A466AA"/>
    <w:rsid w:val="00A4755D"/>
    <w:rsid w:val="00A5151C"/>
    <w:rsid w:val="00A520C6"/>
    <w:rsid w:val="00A52360"/>
    <w:rsid w:val="00A528E8"/>
    <w:rsid w:val="00A52E1D"/>
    <w:rsid w:val="00A53656"/>
    <w:rsid w:val="00A54CC2"/>
    <w:rsid w:val="00A5545E"/>
    <w:rsid w:val="00A56BB1"/>
    <w:rsid w:val="00A602DB"/>
    <w:rsid w:val="00A608D2"/>
    <w:rsid w:val="00A61499"/>
    <w:rsid w:val="00A62A77"/>
    <w:rsid w:val="00A63307"/>
    <w:rsid w:val="00A63483"/>
    <w:rsid w:val="00A645FD"/>
    <w:rsid w:val="00A64656"/>
    <w:rsid w:val="00A64B41"/>
    <w:rsid w:val="00A6557B"/>
    <w:rsid w:val="00A65704"/>
    <w:rsid w:val="00A657D7"/>
    <w:rsid w:val="00A65CB3"/>
    <w:rsid w:val="00A660AC"/>
    <w:rsid w:val="00A6625B"/>
    <w:rsid w:val="00A67E6C"/>
    <w:rsid w:val="00A707F3"/>
    <w:rsid w:val="00A708DE"/>
    <w:rsid w:val="00A71B30"/>
    <w:rsid w:val="00A71B99"/>
    <w:rsid w:val="00A71ED4"/>
    <w:rsid w:val="00A739D0"/>
    <w:rsid w:val="00A75800"/>
    <w:rsid w:val="00A75B48"/>
    <w:rsid w:val="00A75D7A"/>
    <w:rsid w:val="00A761D4"/>
    <w:rsid w:val="00A77734"/>
    <w:rsid w:val="00A77EC4"/>
    <w:rsid w:val="00A809D4"/>
    <w:rsid w:val="00A82842"/>
    <w:rsid w:val="00A82BA9"/>
    <w:rsid w:val="00A837E0"/>
    <w:rsid w:val="00A85147"/>
    <w:rsid w:val="00A857B5"/>
    <w:rsid w:val="00A858CF"/>
    <w:rsid w:val="00A87DB4"/>
    <w:rsid w:val="00A92879"/>
    <w:rsid w:val="00A9442A"/>
    <w:rsid w:val="00A966E0"/>
    <w:rsid w:val="00A97D83"/>
    <w:rsid w:val="00AA016F"/>
    <w:rsid w:val="00AA086C"/>
    <w:rsid w:val="00AA0D91"/>
    <w:rsid w:val="00AA1BEA"/>
    <w:rsid w:val="00AA1ED6"/>
    <w:rsid w:val="00AA274B"/>
    <w:rsid w:val="00AA2F68"/>
    <w:rsid w:val="00AA3A8A"/>
    <w:rsid w:val="00AA3C32"/>
    <w:rsid w:val="00AA4B78"/>
    <w:rsid w:val="00AA4FEF"/>
    <w:rsid w:val="00AA51D6"/>
    <w:rsid w:val="00AA689A"/>
    <w:rsid w:val="00AA7DC1"/>
    <w:rsid w:val="00AB0727"/>
    <w:rsid w:val="00AB0BC8"/>
    <w:rsid w:val="00AB11B0"/>
    <w:rsid w:val="00AB11CA"/>
    <w:rsid w:val="00AB14D9"/>
    <w:rsid w:val="00AB15B5"/>
    <w:rsid w:val="00AB2293"/>
    <w:rsid w:val="00AB4AB8"/>
    <w:rsid w:val="00AB52CB"/>
    <w:rsid w:val="00AB5947"/>
    <w:rsid w:val="00AB655E"/>
    <w:rsid w:val="00AC007F"/>
    <w:rsid w:val="00AC2ECD"/>
    <w:rsid w:val="00AC2F48"/>
    <w:rsid w:val="00AC3119"/>
    <w:rsid w:val="00AC49FB"/>
    <w:rsid w:val="00AC5525"/>
    <w:rsid w:val="00AC5A10"/>
    <w:rsid w:val="00AC6727"/>
    <w:rsid w:val="00AC6C49"/>
    <w:rsid w:val="00AD0072"/>
    <w:rsid w:val="00AD0299"/>
    <w:rsid w:val="00AD0321"/>
    <w:rsid w:val="00AD0493"/>
    <w:rsid w:val="00AD0AA3"/>
    <w:rsid w:val="00AD162C"/>
    <w:rsid w:val="00AD22E0"/>
    <w:rsid w:val="00AD2ED0"/>
    <w:rsid w:val="00AD32A2"/>
    <w:rsid w:val="00AD3BD6"/>
    <w:rsid w:val="00AD3F94"/>
    <w:rsid w:val="00AD4A5A"/>
    <w:rsid w:val="00AE16E9"/>
    <w:rsid w:val="00AE2091"/>
    <w:rsid w:val="00AE24D0"/>
    <w:rsid w:val="00AE27AC"/>
    <w:rsid w:val="00AE40E0"/>
    <w:rsid w:val="00AE4DBA"/>
    <w:rsid w:val="00AE4F07"/>
    <w:rsid w:val="00AE5153"/>
    <w:rsid w:val="00AE6B46"/>
    <w:rsid w:val="00AF0144"/>
    <w:rsid w:val="00AF1C5D"/>
    <w:rsid w:val="00AF21AF"/>
    <w:rsid w:val="00AF26FF"/>
    <w:rsid w:val="00AF36E3"/>
    <w:rsid w:val="00AF42D7"/>
    <w:rsid w:val="00AF4A64"/>
    <w:rsid w:val="00AF5742"/>
    <w:rsid w:val="00AF5A3B"/>
    <w:rsid w:val="00B006FE"/>
    <w:rsid w:val="00B007CB"/>
    <w:rsid w:val="00B01337"/>
    <w:rsid w:val="00B014CE"/>
    <w:rsid w:val="00B02AA9"/>
    <w:rsid w:val="00B02FA3"/>
    <w:rsid w:val="00B03F2A"/>
    <w:rsid w:val="00B0487D"/>
    <w:rsid w:val="00B05084"/>
    <w:rsid w:val="00B054A1"/>
    <w:rsid w:val="00B05745"/>
    <w:rsid w:val="00B13F88"/>
    <w:rsid w:val="00B14877"/>
    <w:rsid w:val="00B1574B"/>
    <w:rsid w:val="00B157F9"/>
    <w:rsid w:val="00B15836"/>
    <w:rsid w:val="00B169E0"/>
    <w:rsid w:val="00B20256"/>
    <w:rsid w:val="00B20D09"/>
    <w:rsid w:val="00B22AD1"/>
    <w:rsid w:val="00B23F1F"/>
    <w:rsid w:val="00B260E7"/>
    <w:rsid w:val="00B26805"/>
    <w:rsid w:val="00B2698B"/>
    <w:rsid w:val="00B26DDB"/>
    <w:rsid w:val="00B27608"/>
    <w:rsid w:val="00B2763F"/>
    <w:rsid w:val="00B27AAC"/>
    <w:rsid w:val="00B30929"/>
    <w:rsid w:val="00B3257A"/>
    <w:rsid w:val="00B33CB4"/>
    <w:rsid w:val="00B36A14"/>
    <w:rsid w:val="00B372AA"/>
    <w:rsid w:val="00B40445"/>
    <w:rsid w:val="00B40511"/>
    <w:rsid w:val="00B409E0"/>
    <w:rsid w:val="00B41888"/>
    <w:rsid w:val="00B42C2C"/>
    <w:rsid w:val="00B42F9A"/>
    <w:rsid w:val="00B454E1"/>
    <w:rsid w:val="00B45891"/>
    <w:rsid w:val="00B45A52"/>
    <w:rsid w:val="00B46175"/>
    <w:rsid w:val="00B50AA1"/>
    <w:rsid w:val="00B51EDB"/>
    <w:rsid w:val="00B548B7"/>
    <w:rsid w:val="00B549FC"/>
    <w:rsid w:val="00B54DD6"/>
    <w:rsid w:val="00B571E7"/>
    <w:rsid w:val="00B57AC5"/>
    <w:rsid w:val="00B60154"/>
    <w:rsid w:val="00B6161E"/>
    <w:rsid w:val="00B61AB2"/>
    <w:rsid w:val="00B62A86"/>
    <w:rsid w:val="00B644C4"/>
    <w:rsid w:val="00B65B1C"/>
    <w:rsid w:val="00B65CA7"/>
    <w:rsid w:val="00B65FF5"/>
    <w:rsid w:val="00B66338"/>
    <w:rsid w:val="00B664C7"/>
    <w:rsid w:val="00B67497"/>
    <w:rsid w:val="00B701A6"/>
    <w:rsid w:val="00B713D8"/>
    <w:rsid w:val="00B717E3"/>
    <w:rsid w:val="00B71F21"/>
    <w:rsid w:val="00B739F6"/>
    <w:rsid w:val="00B755E0"/>
    <w:rsid w:val="00B76019"/>
    <w:rsid w:val="00B80D1B"/>
    <w:rsid w:val="00B81A6C"/>
    <w:rsid w:val="00B83530"/>
    <w:rsid w:val="00B841B4"/>
    <w:rsid w:val="00B85DE5"/>
    <w:rsid w:val="00B87110"/>
    <w:rsid w:val="00B87F63"/>
    <w:rsid w:val="00B90F73"/>
    <w:rsid w:val="00B90FF4"/>
    <w:rsid w:val="00B9164E"/>
    <w:rsid w:val="00B91701"/>
    <w:rsid w:val="00B923DF"/>
    <w:rsid w:val="00B93300"/>
    <w:rsid w:val="00B93629"/>
    <w:rsid w:val="00B93804"/>
    <w:rsid w:val="00B93B59"/>
    <w:rsid w:val="00B9406A"/>
    <w:rsid w:val="00B94F35"/>
    <w:rsid w:val="00B953ED"/>
    <w:rsid w:val="00B956AD"/>
    <w:rsid w:val="00B960E8"/>
    <w:rsid w:val="00B965AB"/>
    <w:rsid w:val="00B978EA"/>
    <w:rsid w:val="00B97D1D"/>
    <w:rsid w:val="00B97D8B"/>
    <w:rsid w:val="00BA0330"/>
    <w:rsid w:val="00BA09BA"/>
    <w:rsid w:val="00BA1823"/>
    <w:rsid w:val="00BA2280"/>
    <w:rsid w:val="00BA2A08"/>
    <w:rsid w:val="00BA56D2"/>
    <w:rsid w:val="00BA76E0"/>
    <w:rsid w:val="00BA7B2A"/>
    <w:rsid w:val="00BB0C16"/>
    <w:rsid w:val="00BB13BD"/>
    <w:rsid w:val="00BB2A25"/>
    <w:rsid w:val="00BB3777"/>
    <w:rsid w:val="00BB4B51"/>
    <w:rsid w:val="00BB51E9"/>
    <w:rsid w:val="00BB6692"/>
    <w:rsid w:val="00BB6E10"/>
    <w:rsid w:val="00BB76F2"/>
    <w:rsid w:val="00BC0948"/>
    <w:rsid w:val="00BC0FDC"/>
    <w:rsid w:val="00BC1125"/>
    <w:rsid w:val="00BC1D78"/>
    <w:rsid w:val="00BC2D0A"/>
    <w:rsid w:val="00BC3053"/>
    <w:rsid w:val="00BC45A9"/>
    <w:rsid w:val="00BC4D2E"/>
    <w:rsid w:val="00BC4FA6"/>
    <w:rsid w:val="00BC6E87"/>
    <w:rsid w:val="00BC73A0"/>
    <w:rsid w:val="00BC774C"/>
    <w:rsid w:val="00BC7AA1"/>
    <w:rsid w:val="00BD07CC"/>
    <w:rsid w:val="00BD2170"/>
    <w:rsid w:val="00BD29D1"/>
    <w:rsid w:val="00BD3588"/>
    <w:rsid w:val="00BD3729"/>
    <w:rsid w:val="00BD48AC"/>
    <w:rsid w:val="00BD5013"/>
    <w:rsid w:val="00BD5F1A"/>
    <w:rsid w:val="00BD65C1"/>
    <w:rsid w:val="00BD7400"/>
    <w:rsid w:val="00BE0271"/>
    <w:rsid w:val="00BE094D"/>
    <w:rsid w:val="00BE10CD"/>
    <w:rsid w:val="00BE1234"/>
    <w:rsid w:val="00BE18E9"/>
    <w:rsid w:val="00BE25C4"/>
    <w:rsid w:val="00BE2BD2"/>
    <w:rsid w:val="00BE2C8F"/>
    <w:rsid w:val="00BE2CB4"/>
    <w:rsid w:val="00BE2FA6"/>
    <w:rsid w:val="00BE333F"/>
    <w:rsid w:val="00BE3764"/>
    <w:rsid w:val="00BE4977"/>
    <w:rsid w:val="00BE7406"/>
    <w:rsid w:val="00BE7603"/>
    <w:rsid w:val="00BF16F6"/>
    <w:rsid w:val="00BF1E70"/>
    <w:rsid w:val="00BF30A2"/>
    <w:rsid w:val="00BF3279"/>
    <w:rsid w:val="00BF4B5F"/>
    <w:rsid w:val="00BF681C"/>
    <w:rsid w:val="00BF6DCB"/>
    <w:rsid w:val="00BF6F85"/>
    <w:rsid w:val="00BF74C7"/>
    <w:rsid w:val="00C005CA"/>
    <w:rsid w:val="00C015F1"/>
    <w:rsid w:val="00C017B5"/>
    <w:rsid w:val="00C01F33"/>
    <w:rsid w:val="00C02CC3"/>
    <w:rsid w:val="00C02CC6"/>
    <w:rsid w:val="00C040F7"/>
    <w:rsid w:val="00C044AB"/>
    <w:rsid w:val="00C04C78"/>
    <w:rsid w:val="00C05706"/>
    <w:rsid w:val="00C06B65"/>
    <w:rsid w:val="00C07377"/>
    <w:rsid w:val="00C10478"/>
    <w:rsid w:val="00C12107"/>
    <w:rsid w:val="00C12B2A"/>
    <w:rsid w:val="00C13D6D"/>
    <w:rsid w:val="00C14D4B"/>
    <w:rsid w:val="00C154BB"/>
    <w:rsid w:val="00C169D7"/>
    <w:rsid w:val="00C179B7"/>
    <w:rsid w:val="00C20F33"/>
    <w:rsid w:val="00C2121B"/>
    <w:rsid w:val="00C2347B"/>
    <w:rsid w:val="00C23BDD"/>
    <w:rsid w:val="00C23CA2"/>
    <w:rsid w:val="00C2478D"/>
    <w:rsid w:val="00C2638A"/>
    <w:rsid w:val="00C26F81"/>
    <w:rsid w:val="00C27818"/>
    <w:rsid w:val="00C279B5"/>
    <w:rsid w:val="00C27C45"/>
    <w:rsid w:val="00C303DE"/>
    <w:rsid w:val="00C30AEC"/>
    <w:rsid w:val="00C3338D"/>
    <w:rsid w:val="00C35DE8"/>
    <w:rsid w:val="00C3610B"/>
    <w:rsid w:val="00C36A08"/>
    <w:rsid w:val="00C36C65"/>
    <w:rsid w:val="00C3719D"/>
    <w:rsid w:val="00C37734"/>
    <w:rsid w:val="00C37CB2"/>
    <w:rsid w:val="00C42B7C"/>
    <w:rsid w:val="00C42C7C"/>
    <w:rsid w:val="00C433D8"/>
    <w:rsid w:val="00C434B9"/>
    <w:rsid w:val="00C43FE4"/>
    <w:rsid w:val="00C4412A"/>
    <w:rsid w:val="00C4448C"/>
    <w:rsid w:val="00C45142"/>
    <w:rsid w:val="00C462CB"/>
    <w:rsid w:val="00C46CBC"/>
    <w:rsid w:val="00C473A5"/>
    <w:rsid w:val="00C5161D"/>
    <w:rsid w:val="00C51636"/>
    <w:rsid w:val="00C52D24"/>
    <w:rsid w:val="00C53131"/>
    <w:rsid w:val="00C53BB6"/>
    <w:rsid w:val="00C547BB"/>
    <w:rsid w:val="00C54861"/>
    <w:rsid w:val="00C54995"/>
    <w:rsid w:val="00C54D41"/>
    <w:rsid w:val="00C5539E"/>
    <w:rsid w:val="00C553F0"/>
    <w:rsid w:val="00C604F1"/>
    <w:rsid w:val="00C605CF"/>
    <w:rsid w:val="00C60783"/>
    <w:rsid w:val="00C60880"/>
    <w:rsid w:val="00C60EF4"/>
    <w:rsid w:val="00C61E9F"/>
    <w:rsid w:val="00C620D7"/>
    <w:rsid w:val="00C62AC8"/>
    <w:rsid w:val="00C63BC7"/>
    <w:rsid w:val="00C641D0"/>
    <w:rsid w:val="00C64672"/>
    <w:rsid w:val="00C64D18"/>
    <w:rsid w:val="00C64DA5"/>
    <w:rsid w:val="00C66986"/>
    <w:rsid w:val="00C66BD9"/>
    <w:rsid w:val="00C701B9"/>
    <w:rsid w:val="00C70697"/>
    <w:rsid w:val="00C72093"/>
    <w:rsid w:val="00C72EF4"/>
    <w:rsid w:val="00C739FC"/>
    <w:rsid w:val="00C744FE"/>
    <w:rsid w:val="00C74F02"/>
    <w:rsid w:val="00C75D2F"/>
    <w:rsid w:val="00C767BE"/>
    <w:rsid w:val="00C76E3C"/>
    <w:rsid w:val="00C774EA"/>
    <w:rsid w:val="00C77681"/>
    <w:rsid w:val="00C77A38"/>
    <w:rsid w:val="00C80159"/>
    <w:rsid w:val="00C80590"/>
    <w:rsid w:val="00C80791"/>
    <w:rsid w:val="00C81568"/>
    <w:rsid w:val="00C81945"/>
    <w:rsid w:val="00C832F2"/>
    <w:rsid w:val="00C83ABA"/>
    <w:rsid w:val="00C847E3"/>
    <w:rsid w:val="00C85560"/>
    <w:rsid w:val="00C8676D"/>
    <w:rsid w:val="00C87035"/>
    <w:rsid w:val="00C87535"/>
    <w:rsid w:val="00C9027A"/>
    <w:rsid w:val="00C9068E"/>
    <w:rsid w:val="00C91204"/>
    <w:rsid w:val="00C93814"/>
    <w:rsid w:val="00C93C4B"/>
    <w:rsid w:val="00C944AB"/>
    <w:rsid w:val="00C956F8"/>
    <w:rsid w:val="00C95B40"/>
    <w:rsid w:val="00C9783A"/>
    <w:rsid w:val="00C97CC2"/>
    <w:rsid w:val="00CA1ED8"/>
    <w:rsid w:val="00CA24FC"/>
    <w:rsid w:val="00CA267F"/>
    <w:rsid w:val="00CA33F3"/>
    <w:rsid w:val="00CA3F4F"/>
    <w:rsid w:val="00CA5934"/>
    <w:rsid w:val="00CA6C2B"/>
    <w:rsid w:val="00CB091E"/>
    <w:rsid w:val="00CB1F63"/>
    <w:rsid w:val="00CB21C7"/>
    <w:rsid w:val="00CB2BC5"/>
    <w:rsid w:val="00CB45B7"/>
    <w:rsid w:val="00CB5F5C"/>
    <w:rsid w:val="00CB6D5D"/>
    <w:rsid w:val="00CB7170"/>
    <w:rsid w:val="00CC040E"/>
    <w:rsid w:val="00CC111F"/>
    <w:rsid w:val="00CC19D2"/>
    <w:rsid w:val="00CC2011"/>
    <w:rsid w:val="00CC35C8"/>
    <w:rsid w:val="00CC3EA0"/>
    <w:rsid w:val="00CC6047"/>
    <w:rsid w:val="00CC78B3"/>
    <w:rsid w:val="00CC7B45"/>
    <w:rsid w:val="00CD097D"/>
    <w:rsid w:val="00CD1188"/>
    <w:rsid w:val="00CD1256"/>
    <w:rsid w:val="00CD16FC"/>
    <w:rsid w:val="00CD1FC9"/>
    <w:rsid w:val="00CD2ED1"/>
    <w:rsid w:val="00CD337B"/>
    <w:rsid w:val="00CD3AA3"/>
    <w:rsid w:val="00CD4058"/>
    <w:rsid w:val="00CD4991"/>
    <w:rsid w:val="00CD5361"/>
    <w:rsid w:val="00CD5434"/>
    <w:rsid w:val="00CD5805"/>
    <w:rsid w:val="00CD5AAB"/>
    <w:rsid w:val="00CE0424"/>
    <w:rsid w:val="00CE1C6A"/>
    <w:rsid w:val="00CE3941"/>
    <w:rsid w:val="00CE4767"/>
    <w:rsid w:val="00CE565C"/>
    <w:rsid w:val="00CE5DB0"/>
    <w:rsid w:val="00CE7561"/>
    <w:rsid w:val="00CE7E49"/>
    <w:rsid w:val="00CF08D9"/>
    <w:rsid w:val="00CF1354"/>
    <w:rsid w:val="00CF1D9B"/>
    <w:rsid w:val="00CF1DB5"/>
    <w:rsid w:val="00CF308F"/>
    <w:rsid w:val="00CF3B1F"/>
    <w:rsid w:val="00CF3B24"/>
    <w:rsid w:val="00CF3BF6"/>
    <w:rsid w:val="00CF46C8"/>
    <w:rsid w:val="00CF5A35"/>
    <w:rsid w:val="00CF625B"/>
    <w:rsid w:val="00CF687E"/>
    <w:rsid w:val="00CF7205"/>
    <w:rsid w:val="00CF7231"/>
    <w:rsid w:val="00CF72C8"/>
    <w:rsid w:val="00CF7E7D"/>
    <w:rsid w:val="00D0118A"/>
    <w:rsid w:val="00D02827"/>
    <w:rsid w:val="00D02EC0"/>
    <w:rsid w:val="00D02F3F"/>
    <w:rsid w:val="00D0349B"/>
    <w:rsid w:val="00D049BB"/>
    <w:rsid w:val="00D10249"/>
    <w:rsid w:val="00D103CA"/>
    <w:rsid w:val="00D115C3"/>
    <w:rsid w:val="00D11897"/>
    <w:rsid w:val="00D119F9"/>
    <w:rsid w:val="00D126F0"/>
    <w:rsid w:val="00D13135"/>
    <w:rsid w:val="00D13E4E"/>
    <w:rsid w:val="00D16948"/>
    <w:rsid w:val="00D1784D"/>
    <w:rsid w:val="00D179B8"/>
    <w:rsid w:val="00D22D0A"/>
    <w:rsid w:val="00D239A7"/>
    <w:rsid w:val="00D23F47"/>
    <w:rsid w:val="00D24BB6"/>
    <w:rsid w:val="00D26797"/>
    <w:rsid w:val="00D27BC5"/>
    <w:rsid w:val="00D3068C"/>
    <w:rsid w:val="00D30B07"/>
    <w:rsid w:val="00D31CCA"/>
    <w:rsid w:val="00D33F86"/>
    <w:rsid w:val="00D36E71"/>
    <w:rsid w:val="00D37587"/>
    <w:rsid w:val="00D37D87"/>
    <w:rsid w:val="00D40B33"/>
    <w:rsid w:val="00D41567"/>
    <w:rsid w:val="00D41BB3"/>
    <w:rsid w:val="00D42A30"/>
    <w:rsid w:val="00D42B54"/>
    <w:rsid w:val="00D4318F"/>
    <w:rsid w:val="00D438BF"/>
    <w:rsid w:val="00D44065"/>
    <w:rsid w:val="00D44095"/>
    <w:rsid w:val="00D440F8"/>
    <w:rsid w:val="00D44591"/>
    <w:rsid w:val="00D4679B"/>
    <w:rsid w:val="00D5003D"/>
    <w:rsid w:val="00D50569"/>
    <w:rsid w:val="00D50720"/>
    <w:rsid w:val="00D50BD2"/>
    <w:rsid w:val="00D50FEC"/>
    <w:rsid w:val="00D5149A"/>
    <w:rsid w:val="00D52090"/>
    <w:rsid w:val="00D52094"/>
    <w:rsid w:val="00D5346B"/>
    <w:rsid w:val="00D546FF"/>
    <w:rsid w:val="00D552A6"/>
    <w:rsid w:val="00D556B5"/>
    <w:rsid w:val="00D55AD5"/>
    <w:rsid w:val="00D55E66"/>
    <w:rsid w:val="00D576CA"/>
    <w:rsid w:val="00D57880"/>
    <w:rsid w:val="00D57BF3"/>
    <w:rsid w:val="00D60099"/>
    <w:rsid w:val="00D606C3"/>
    <w:rsid w:val="00D608C8"/>
    <w:rsid w:val="00D61802"/>
    <w:rsid w:val="00D61AF5"/>
    <w:rsid w:val="00D63A2F"/>
    <w:rsid w:val="00D652B5"/>
    <w:rsid w:val="00D65C4F"/>
    <w:rsid w:val="00D65C97"/>
    <w:rsid w:val="00D66155"/>
    <w:rsid w:val="00D66241"/>
    <w:rsid w:val="00D708B0"/>
    <w:rsid w:val="00D70E3B"/>
    <w:rsid w:val="00D7182A"/>
    <w:rsid w:val="00D71931"/>
    <w:rsid w:val="00D726DE"/>
    <w:rsid w:val="00D74AB8"/>
    <w:rsid w:val="00D74D2C"/>
    <w:rsid w:val="00D76485"/>
    <w:rsid w:val="00D7698E"/>
    <w:rsid w:val="00D777D8"/>
    <w:rsid w:val="00D77AC9"/>
    <w:rsid w:val="00D77B1D"/>
    <w:rsid w:val="00D8021F"/>
    <w:rsid w:val="00D80383"/>
    <w:rsid w:val="00D823C6"/>
    <w:rsid w:val="00D82A66"/>
    <w:rsid w:val="00D8327F"/>
    <w:rsid w:val="00D84586"/>
    <w:rsid w:val="00D85409"/>
    <w:rsid w:val="00D86CA3"/>
    <w:rsid w:val="00D871CE"/>
    <w:rsid w:val="00D87A43"/>
    <w:rsid w:val="00D9015A"/>
    <w:rsid w:val="00D9062D"/>
    <w:rsid w:val="00D90BF6"/>
    <w:rsid w:val="00D9196D"/>
    <w:rsid w:val="00D92982"/>
    <w:rsid w:val="00D935AB"/>
    <w:rsid w:val="00D949E0"/>
    <w:rsid w:val="00D9521F"/>
    <w:rsid w:val="00DA0B47"/>
    <w:rsid w:val="00DA305E"/>
    <w:rsid w:val="00DA4070"/>
    <w:rsid w:val="00DA504A"/>
    <w:rsid w:val="00DA5149"/>
    <w:rsid w:val="00DA5417"/>
    <w:rsid w:val="00DA56E8"/>
    <w:rsid w:val="00DA597D"/>
    <w:rsid w:val="00DA59E1"/>
    <w:rsid w:val="00DB0136"/>
    <w:rsid w:val="00DB0A9F"/>
    <w:rsid w:val="00DB319D"/>
    <w:rsid w:val="00DB35AA"/>
    <w:rsid w:val="00DB377D"/>
    <w:rsid w:val="00DB4718"/>
    <w:rsid w:val="00DB4C2C"/>
    <w:rsid w:val="00DC1683"/>
    <w:rsid w:val="00DC1A1E"/>
    <w:rsid w:val="00DC29B0"/>
    <w:rsid w:val="00DC2D36"/>
    <w:rsid w:val="00DC3EC8"/>
    <w:rsid w:val="00DC53EF"/>
    <w:rsid w:val="00DC5E64"/>
    <w:rsid w:val="00DD3BEC"/>
    <w:rsid w:val="00DD488A"/>
    <w:rsid w:val="00DD65F7"/>
    <w:rsid w:val="00DE03D0"/>
    <w:rsid w:val="00DE297C"/>
    <w:rsid w:val="00DE338E"/>
    <w:rsid w:val="00DE45DA"/>
    <w:rsid w:val="00DE4ADF"/>
    <w:rsid w:val="00DE5608"/>
    <w:rsid w:val="00DE58D0"/>
    <w:rsid w:val="00DE654F"/>
    <w:rsid w:val="00DE6DB2"/>
    <w:rsid w:val="00DF06CE"/>
    <w:rsid w:val="00DF0B6E"/>
    <w:rsid w:val="00DF15E0"/>
    <w:rsid w:val="00DF1968"/>
    <w:rsid w:val="00DF37A0"/>
    <w:rsid w:val="00DF414B"/>
    <w:rsid w:val="00DF6910"/>
    <w:rsid w:val="00DF730D"/>
    <w:rsid w:val="00E00D18"/>
    <w:rsid w:val="00E023DF"/>
    <w:rsid w:val="00E05D7B"/>
    <w:rsid w:val="00E0669C"/>
    <w:rsid w:val="00E067DB"/>
    <w:rsid w:val="00E072BC"/>
    <w:rsid w:val="00E078C8"/>
    <w:rsid w:val="00E110E7"/>
    <w:rsid w:val="00E11B20"/>
    <w:rsid w:val="00E13272"/>
    <w:rsid w:val="00E13D2D"/>
    <w:rsid w:val="00E14721"/>
    <w:rsid w:val="00E14966"/>
    <w:rsid w:val="00E1539D"/>
    <w:rsid w:val="00E15689"/>
    <w:rsid w:val="00E16476"/>
    <w:rsid w:val="00E16D36"/>
    <w:rsid w:val="00E17FA2"/>
    <w:rsid w:val="00E202A7"/>
    <w:rsid w:val="00E22330"/>
    <w:rsid w:val="00E23D80"/>
    <w:rsid w:val="00E240A0"/>
    <w:rsid w:val="00E25FAC"/>
    <w:rsid w:val="00E270D4"/>
    <w:rsid w:val="00E27A4C"/>
    <w:rsid w:val="00E30B3D"/>
    <w:rsid w:val="00E30B5A"/>
    <w:rsid w:val="00E3123D"/>
    <w:rsid w:val="00E31461"/>
    <w:rsid w:val="00E31D43"/>
    <w:rsid w:val="00E32608"/>
    <w:rsid w:val="00E32636"/>
    <w:rsid w:val="00E34188"/>
    <w:rsid w:val="00E34B6E"/>
    <w:rsid w:val="00E35559"/>
    <w:rsid w:val="00E358E9"/>
    <w:rsid w:val="00E3598E"/>
    <w:rsid w:val="00E3655B"/>
    <w:rsid w:val="00E3723A"/>
    <w:rsid w:val="00E3733F"/>
    <w:rsid w:val="00E37860"/>
    <w:rsid w:val="00E37A73"/>
    <w:rsid w:val="00E402AC"/>
    <w:rsid w:val="00E42432"/>
    <w:rsid w:val="00E43791"/>
    <w:rsid w:val="00E446F1"/>
    <w:rsid w:val="00E45448"/>
    <w:rsid w:val="00E45ADA"/>
    <w:rsid w:val="00E467B8"/>
    <w:rsid w:val="00E46886"/>
    <w:rsid w:val="00E47156"/>
    <w:rsid w:val="00E47AEF"/>
    <w:rsid w:val="00E511DB"/>
    <w:rsid w:val="00E52943"/>
    <w:rsid w:val="00E53473"/>
    <w:rsid w:val="00E5375E"/>
    <w:rsid w:val="00E53B75"/>
    <w:rsid w:val="00E54E3B"/>
    <w:rsid w:val="00E57565"/>
    <w:rsid w:val="00E60929"/>
    <w:rsid w:val="00E62CA5"/>
    <w:rsid w:val="00E62E8D"/>
    <w:rsid w:val="00E63838"/>
    <w:rsid w:val="00E63BF7"/>
    <w:rsid w:val="00E640B1"/>
    <w:rsid w:val="00E64201"/>
    <w:rsid w:val="00E64434"/>
    <w:rsid w:val="00E651BF"/>
    <w:rsid w:val="00E651EA"/>
    <w:rsid w:val="00E67C51"/>
    <w:rsid w:val="00E7013D"/>
    <w:rsid w:val="00E70BDB"/>
    <w:rsid w:val="00E710A9"/>
    <w:rsid w:val="00E72333"/>
    <w:rsid w:val="00E72EFC"/>
    <w:rsid w:val="00E7310B"/>
    <w:rsid w:val="00E73A85"/>
    <w:rsid w:val="00E758EC"/>
    <w:rsid w:val="00E75AF6"/>
    <w:rsid w:val="00E76CB6"/>
    <w:rsid w:val="00E77F42"/>
    <w:rsid w:val="00E8234C"/>
    <w:rsid w:val="00E82C11"/>
    <w:rsid w:val="00E839D5"/>
    <w:rsid w:val="00E83AA9"/>
    <w:rsid w:val="00E843B1"/>
    <w:rsid w:val="00E85928"/>
    <w:rsid w:val="00E87588"/>
    <w:rsid w:val="00E876C0"/>
    <w:rsid w:val="00E87822"/>
    <w:rsid w:val="00E90395"/>
    <w:rsid w:val="00E90E49"/>
    <w:rsid w:val="00E917F9"/>
    <w:rsid w:val="00E91F48"/>
    <w:rsid w:val="00E9291C"/>
    <w:rsid w:val="00E93FFE"/>
    <w:rsid w:val="00E94F8A"/>
    <w:rsid w:val="00E95B9E"/>
    <w:rsid w:val="00E96C06"/>
    <w:rsid w:val="00E971A8"/>
    <w:rsid w:val="00EA1481"/>
    <w:rsid w:val="00EA492C"/>
    <w:rsid w:val="00EA7A41"/>
    <w:rsid w:val="00EB077B"/>
    <w:rsid w:val="00EB2177"/>
    <w:rsid w:val="00EB41D5"/>
    <w:rsid w:val="00EB47F1"/>
    <w:rsid w:val="00EB4EA2"/>
    <w:rsid w:val="00EB7524"/>
    <w:rsid w:val="00EB7FF9"/>
    <w:rsid w:val="00EC24C6"/>
    <w:rsid w:val="00EC24D5"/>
    <w:rsid w:val="00EC27C6"/>
    <w:rsid w:val="00EC4207"/>
    <w:rsid w:val="00EC46BE"/>
    <w:rsid w:val="00EC4F84"/>
    <w:rsid w:val="00EC5653"/>
    <w:rsid w:val="00EC6752"/>
    <w:rsid w:val="00EC71CE"/>
    <w:rsid w:val="00EC7834"/>
    <w:rsid w:val="00ED1006"/>
    <w:rsid w:val="00ED23BB"/>
    <w:rsid w:val="00ED2D9A"/>
    <w:rsid w:val="00ED2E19"/>
    <w:rsid w:val="00ED3598"/>
    <w:rsid w:val="00ED40C4"/>
    <w:rsid w:val="00ED4304"/>
    <w:rsid w:val="00ED46A0"/>
    <w:rsid w:val="00ED4FDF"/>
    <w:rsid w:val="00ED6838"/>
    <w:rsid w:val="00EE0910"/>
    <w:rsid w:val="00EE15AE"/>
    <w:rsid w:val="00EE211B"/>
    <w:rsid w:val="00EE21EF"/>
    <w:rsid w:val="00EE27D8"/>
    <w:rsid w:val="00EE2CD6"/>
    <w:rsid w:val="00EE6E3B"/>
    <w:rsid w:val="00EE6F23"/>
    <w:rsid w:val="00EE787F"/>
    <w:rsid w:val="00EE7D0B"/>
    <w:rsid w:val="00EF18FE"/>
    <w:rsid w:val="00EF19DE"/>
    <w:rsid w:val="00EF44CE"/>
    <w:rsid w:val="00EF5787"/>
    <w:rsid w:val="00EF606F"/>
    <w:rsid w:val="00EF60D0"/>
    <w:rsid w:val="00EF6123"/>
    <w:rsid w:val="00EF65E3"/>
    <w:rsid w:val="00EF6644"/>
    <w:rsid w:val="00F026B0"/>
    <w:rsid w:val="00F02983"/>
    <w:rsid w:val="00F03556"/>
    <w:rsid w:val="00F0438A"/>
    <w:rsid w:val="00F047D6"/>
    <w:rsid w:val="00F0528D"/>
    <w:rsid w:val="00F06A87"/>
    <w:rsid w:val="00F06C67"/>
    <w:rsid w:val="00F06DFD"/>
    <w:rsid w:val="00F071D1"/>
    <w:rsid w:val="00F07533"/>
    <w:rsid w:val="00F101CD"/>
    <w:rsid w:val="00F10629"/>
    <w:rsid w:val="00F10AB4"/>
    <w:rsid w:val="00F10E7D"/>
    <w:rsid w:val="00F1144D"/>
    <w:rsid w:val="00F1314A"/>
    <w:rsid w:val="00F13D3E"/>
    <w:rsid w:val="00F13EC0"/>
    <w:rsid w:val="00F140EA"/>
    <w:rsid w:val="00F15405"/>
    <w:rsid w:val="00F15FA5"/>
    <w:rsid w:val="00F175A1"/>
    <w:rsid w:val="00F1784B"/>
    <w:rsid w:val="00F17EFC"/>
    <w:rsid w:val="00F209B7"/>
    <w:rsid w:val="00F20CBC"/>
    <w:rsid w:val="00F21A47"/>
    <w:rsid w:val="00F2376F"/>
    <w:rsid w:val="00F242D6"/>
    <w:rsid w:val="00F243D8"/>
    <w:rsid w:val="00F253B6"/>
    <w:rsid w:val="00F27864"/>
    <w:rsid w:val="00F27D6A"/>
    <w:rsid w:val="00F302BD"/>
    <w:rsid w:val="00F30828"/>
    <w:rsid w:val="00F313D6"/>
    <w:rsid w:val="00F32C60"/>
    <w:rsid w:val="00F338D9"/>
    <w:rsid w:val="00F35E2D"/>
    <w:rsid w:val="00F36A05"/>
    <w:rsid w:val="00F3783B"/>
    <w:rsid w:val="00F4054E"/>
    <w:rsid w:val="00F40F0C"/>
    <w:rsid w:val="00F41868"/>
    <w:rsid w:val="00F42939"/>
    <w:rsid w:val="00F42EBE"/>
    <w:rsid w:val="00F43F78"/>
    <w:rsid w:val="00F44C00"/>
    <w:rsid w:val="00F45A9C"/>
    <w:rsid w:val="00F46AD5"/>
    <w:rsid w:val="00F4766C"/>
    <w:rsid w:val="00F5060E"/>
    <w:rsid w:val="00F507D1"/>
    <w:rsid w:val="00F519CE"/>
    <w:rsid w:val="00F51ADA"/>
    <w:rsid w:val="00F529A5"/>
    <w:rsid w:val="00F52CFB"/>
    <w:rsid w:val="00F53DC3"/>
    <w:rsid w:val="00F540A9"/>
    <w:rsid w:val="00F56633"/>
    <w:rsid w:val="00F56808"/>
    <w:rsid w:val="00F56FC1"/>
    <w:rsid w:val="00F577D5"/>
    <w:rsid w:val="00F60203"/>
    <w:rsid w:val="00F607C5"/>
    <w:rsid w:val="00F60882"/>
    <w:rsid w:val="00F60DEA"/>
    <w:rsid w:val="00F62301"/>
    <w:rsid w:val="00F6302A"/>
    <w:rsid w:val="00F63950"/>
    <w:rsid w:val="00F64C2B"/>
    <w:rsid w:val="00F64D78"/>
    <w:rsid w:val="00F64D9C"/>
    <w:rsid w:val="00F651BE"/>
    <w:rsid w:val="00F654EF"/>
    <w:rsid w:val="00F65536"/>
    <w:rsid w:val="00F65AFA"/>
    <w:rsid w:val="00F674BA"/>
    <w:rsid w:val="00F67F53"/>
    <w:rsid w:val="00F703BE"/>
    <w:rsid w:val="00F71C81"/>
    <w:rsid w:val="00F71F69"/>
    <w:rsid w:val="00F72B72"/>
    <w:rsid w:val="00F74BB9"/>
    <w:rsid w:val="00F75582"/>
    <w:rsid w:val="00F75DDE"/>
    <w:rsid w:val="00F76EFA"/>
    <w:rsid w:val="00F771D3"/>
    <w:rsid w:val="00F804BE"/>
    <w:rsid w:val="00F808D5"/>
    <w:rsid w:val="00F8104E"/>
    <w:rsid w:val="00F817CE"/>
    <w:rsid w:val="00F818B7"/>
    <w:rsid w:val="00F818D8"/>
    <w:rsid w:val="00F82877"/>
    <w:rsid w:val="00F84165"/>
    <w:rsid w:val="00F8456C"/>
    <w:rsid w:val="00F84756"/>
    <w:rsid w:val="00F85350"/>
    <w:rsid w:val="00F859D8"/>
    <w:rsid w:val="00F868F5"/>
    <w:rsid w:val="00F86966"/>
    <w:rsid w:val="00F86AE2"/>
    <w:rsid w:val="00F86CC9"/>
    <w:rsid w:val="00F86D1D"/>
    <w:rsid w:val="00F86FCC"/>
    <w:rsid w:val="00F9056A"/>
    <w:rsid w:val="00F90716"/>
    <w:rsid w:val="00F9095E"/>
    <w:rsid w:val="00F90F8D"/>
    <w:rsid w:val="00F92782"/>
    <w:rsid w:val="00F92F3E"/>
    <w:rsid w:val="00F9303D"/>
    <w:rsid w:val="00F93AA9"/>
    <w:rsid w:val="00F9482E"/>
    <w:rsid w:val="00F95FAE"/>
    <w:rsid w:val="00F96985"/>
    <w:rsid w:val="00F96A3F"/>
    <w:rsid w:val="00F96D5F"/>
    <w:rsid w:val="00F97838"/>
    <w:rsid w:val="00FA0EB1"/>
    <w:rsid w:val="00FA1B0D"/>
    <w:rsid w:val="00FA26C5"/>
    <w:rsid w:val="00FA2BB3"/>
    <w:rsid w:val="00FA57C1"/>
    <w:rsid w:val="00FA6B1B"/>
    <w:rsid w:val="00FB022F"/>
    <w:rsid w:val="00FB1162"/>
    <w:rsid w:val="00FB244C"/>
    <w:rsid w:val="00FB3FF0"/>
    <w:rsid w:val="00FB427A"/>
    <w:rsid w:val="00FB4C80"/>
    <w:rsid w:val="00FB585C"/>
    <w:rsid w:val="00FB5EF7"/>
    <w:rsid w:val="00FB6A6A"/>
    <w:rsid w:val="00FB775D"/>
    <w:rsid w:val="00FC2F1C"/>
    <w:rsid w:val="00FC7429"/>
    <w:rsid w:val="00FC7CE9"/>
    <w:rsid w:val="00FD07F6"/>
    <w:rsid w:val="00FD188D"/>
    <w:rsid w:val="00FD1EC8"/>
    <w:rsid w:val="00FD357D"/>
    <w:rsid w:val="00FD47ED"/>
    <w:rsid w:val="00FD5297"/>
    <w:rsid w:val="00FD64A6"/>
    <w:rsid w:val="00FD73CA"/>
    <w:rsid w:val="00FD74DB"/>
    <w:rsid w:val="00FD7660"/>
    <w:rsid w:val="00FD7E2A"/>
    <w:rsid w:val="00FE0655"/>
    <w:rsid w:val="00FE1FAB"/>
    <w:rsid w:val="00FE2365"/>
    <w:rsid w:val="00FE2A7A"/>
    <w:rsid w:val="00FE2AB7"/>
    <w:rsid w:val="00FE37D7"/>
    <w:rsid w:val="00FE3C41"/>
    <w:rsid w:val="00FE4C7B"/>
    <w:rsid w:val="00FE7336"/>
    <w:rsid w:val="00FE7804"/>
    <w:rsid w:val="00FE787C"/>
    <w:rsid w:val="00FF04D5"/>
    <w:rsid w:val="00FF0DF9"/>
    <w:rsid w:val="00FF435C"/>
    <w:rsid w:val="00FF45A5"/>
    <w:rsid w:val="00FF5C91"/>
    <w:rsid w:val="00FF6661"/>
    <w:rsid w:val="00FF71AD"/>
    <w:rsid w:val="2EF711A7"/>
    <w:rsid w:val="5F58E1D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445434EB"/>
  <w15:chartTrackingRefBased/>
  <w15:docId w15:val="{6260D47A-82A0-46A7-8379-4F3B89954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List" w:uiPriority="5"/>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437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uiPriority w:val="5"/>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0E0F2D"/>
    <w:pPr>
      <w:snapToGrid w:val="0"/>
      <w:spacing w:after="120"/>
    </w:pPr>
    <w:rPr>
      <w:rFonts w:eastAsia="Batang" w:cs="Arial"/>
      <w:szCs w:val="20"/>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0E0F2D"/>
    <w:rPr>
      <w:rFonts w:ascii="Arial" w:eastAsia="Batang" w:hAnsi="Arial" w:cs="Arial"/>
      <w:lang w:val="en-US" w:eastAsia="en-US"/>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eastAsia="MS Mincho"/>
      <w:b/>
      <w:szCs w:val="24"/>
      <w:lang w:eastAsia="en-GB"/>
    </w:rPr>
  </w:style>
  <w:style w:type="character" w:styleId="Emphasis">
    <w:name w:val="Emphasis"/>
    <w:uiPriority w:val="20"/>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ProposalChar">
    <w:name w:val="Proposal Char"/>
    <w:basedOn w:val="DefaultParagraphFont"/>
    <w:link w:val="Proposal"/>
    <w:qFormat/>
    <w:rsid w:val="00804D93"/>
    <w:rPr>
      <w:rFonts w:ascii="Arial" w:eastAsia="Batang" w:hAnsi="Arial" w:cs="Arial"/>
      <w:b/>
      <w:bCs/>
      <w:lang w:val="en-US" w:eastAsia="en-US"/>
    </w:rPr>
  </w:style>
  <w:style w:type="character" w:styleId="UnresolvedMention">
    <w:name w:val="Unresolved Mention"/>
    <w:basedOn w:val="DefaultParagraphFont"/>
    <w:uiPriority w:val="99"/>
    <w:unhideWhenUsed/>
    <w:rsid w:val="008F366B"/>
    <w:rPr>
      <w:color w:val="605E5C"/>
      <w:shd w:val="clear" w:color="auto" w:fill="E1DFDD"/>
    </w:rPr>
  </w:style>
  <w:style w:type="character" w:styleId="Mention">
    <w:name w:val="Mention"/>
    <w:basedOn w:val="DefaultParagraphFont"/>
    <w:uiPriority w:val="99"/>
    <w:unhideWhenUsed/>
    <w:rsid w:val="008F366B"/>
    <w:rPr>
      <w:color w:val="2B579A"/>
      <w:shd w:val="clear" w:color="auto" w:fill="E1DFDD"/>
    </w:rPr>
  </w:style>
  <w:style w:type="character" w:styleId="PlaceholderText">
    <w:name w:val="Placeholder Text"/>
    <w:basedOn w:val="DefaultParagraphFont"/>
    <w:uiPriority w:val="99"/>
    <w:semiHidden/>
    <w:rsid w:val="001C7F9E"/>
    <w:rPr>
      <w:color w:val="808080"/>
    </w:rPr>
  </w:style>
  <w:style w:type="paragraph" w:styleId="Revision">
    <w:name w:val="Revision"/>
    <w:hidden/>
    <w:uiPriority w:val="99"/>
    <w:semiHidden/>
    <w:rsid w:val="001A5A28"/>
    <w:rPr>
      <w:rFonts w:ascii="Arial" w:eastAsiaTheme="minorHAnsi" w:hAnsi="Arial" w:cstheme="minorBidi"/>
      <w:szCs w:val="22"/>
      <w:lang w:val="en-US" w:eastAsia="en-US"/>
    </w:rPr>
  </w:style>
  <w:style w:type="character" w:customStyle="1" w:styleId="apple-converted-space">
    <w:name w:val="apple-converted-space"/>
    <w:basedOn w:val="DefaultParagraphFont"/>
    <w:qFormat/>
    <w:rsid w:val="00450C2D"/>
  </w:style>
  <w:style w:type="character" w:customStyle="1" w:styleId="msoins0">
    <w:name w:val="msoins"/>
    <w:basedOn w:val="DefaultParagraphFont"/>
    <w:rsid w:val="0014145E"/>
  </w:style>
  <w:style w:type="paragraph" w:styleId="NormalWeb">
    <w:name w:val="Normal (Web)"/>
    <w:basedOn w:val="Normal"/>
    <w:uiPriority w:val="99"/>
    <w:qFormat/>
    <w:rsid w:val="0014145E"/>
    <w:pPr>
      <w:tabs>
        <w:tab w:val="left" w:pos="1247"/>
        <w:tab w:val="left" w:pos="2552"/>
        <w:tab w:val="left" w:pos="3856"/>
        <w:tab w:val="left" w:pos="5216"/>
        <w:tab w:val="left" w:pos="6464"/>
        <w:tab w:val="left" w:pos="7768"/>
      </w:tabs>
      <w:spacing w:after="240" w:line="240" w:lineRule="auto"/>
    </w:pPr>
    <w:rPr>
      <w:rFonts w:ascii="Times New Roman" w:hAnsi="Times New Roman" w:cs="Times New Roman"/>
      <w:sz w:val="24"/>
      <w:szCs w:val="24"/>
    </w:rPr>
  </w:style>
  <w:style w:type="paragraph" w:customStyle="1" w:styleId="xxxmsonormal">
    <w:name w:val="x_xxmsonormal"/>
    <w:basedOn w:val="Normal"/>
    <w:uiPriority w:val="99"/>
    <w:rsid w:val="002D1108"/>
    <w:pPr>
      <w:spacing w:after="0" w:line="240" w:lineRule="auto"/>
    </w:pPr>
    <w:rPr>
      <w:rFonts w:ascii="Times New Roman" w:eastAsia="Malgun Gothic" w:hAnsi="Times New Roman" w:cs="Times New Roman"/>
      <w:sz w:val="24"/>
      <w:szCs w:val="24"/>
      <w:lang w:eastAsia="ko-KR"/>
    </w:rPr>
  </w:style>
  <w:style w:type="character" w:customStyle="1" w:styleId="xxxapple-converted-space">
    <w:name w:val="x_xxapple-converted-space"/>
    <w:rsid w:val="002D1108"/>
  </w:style>
  <w:style w:type="paragraph" w:customStyle="1" w:styleId="western">
    <w:name w:val="western"/>
    <w:basedOn w:val="Normal"/>
    <w:rsid w:val="00442674"/>
    <w:pPr>
      <w:spacing w:before="100" w:beforeAutospacing="1" w:after="100" w:afterAutospacing="1" w:line="240" w:lineRule="auto"/>
    </w:pPr>
    <w:rPr>
      <w:rFonts w:ascii="Times New Roman" w:eastAsia="Times New Roman" w:hAnsi="Times New Roman" w:cs="Times New Roman"/>
      <w:sz w:val="24"/>
      <w:szCs w:val="24"/>
      <w:lang w:val="sv-SE" w:eastAsia="sv-SE"/>
    </w:rPr>
  </w:style>
  <w:style w:type="character" w:customStyle="1" w:styleId="B1Zchn">
    <w:name w:val="B1 Zchn"/>
    <w:qFormat/>
    <w:rsid w:val="003B2DF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5641611">
      <w:bodyDiv w:val="1"/>
      <w:marLeft w:val="0"/>
      <w:marRight w:val="0"/>
      <w:marTop w:val="0"/>
      <w:marBottom w:val="0"/>
      <w:divBdr>
        <w:top w:val="none" w:sz="0" w:space="0" w:color="auto"/>
        <w:left w:val="none" w:sz="0" w:space="0" w:color="auto"/>
        <w:bottom w:val="none" w:sz="0" w:space="0" w:color="auto"/>
        <w:right w:val="none" w:sz="0" w:space="0" w:color="auto"/>
      </w:divBdr>
    </w:div>
    <w:div w:id="478618871">
      <w:bodyDiv w:val="1"/>
      <w:marLeft w:val="0"/>
      <w:marRight w:val="0"/>
      <w:marTop w:val="0"/>
      <w:marBottom w:val="0"/>
      <w:divBdr>
        <w:top w:val="none" w:sz="0" w:space="0" w:color="auto"/>
        <w:left w:val="none" w:sz="0" w:space="0" w:color="auto"/>
        <w:bottom w:val="none" w:sz="0" w:space="0" w:color="auto"/>
        <w:right w:val="none" w:sz="0" w:space="0" w:color="auto"/>
      </w:divBdr>
    </w:div>
    <w:div w:id="911815364">
      <w:bodyDiv w:val="1"/>
      <w:marLeft w:val="0"/>
      <w:marRight w:val="0"/>
      <w:marTop w:val="0"/>
      <w:marBottom w:val="0"/>
      <w:divBdr>
        <w:top w:val="none" w:sz="0" w:space="0" w:color="auto"/>
        <w:left w:val="none" w:sz="0" w:space="0" w:color="auto"/>
        <w:bottom w:val="none" w:sz="0" w:space="0" w:color="auto"/>
        <w:right w:val="none" w:sz="0" w:space="0" w:color="auto"/>
      </w:divBdr>
    </w:div>
    <w:div w:id="1246723788">
      <w:bodyDiv w:val="1"/>
      <w:marLeft w:val="0"/>
      <w:marRight w:val="0"/>
      <w:marTop w:val="0"/>
      <w:marBottom w:val="0"/>
      <w:divBdr>
        <w:top w:val="none" w:sz="0" w:space="0" w:color="auto"/>
        <w:left w:val="none" w:sz="0" w:space="0" w:color="auto"/>
        <w:bottom w:val="none" w:sz="0" w:space="0" w:color="auto"/>
        <w:right w:val="none" w:sz="0" w:space="0" w:color="auto"/>
      </w:divBdr>
    </w:div>
    <w:div w:id="1253709045">
      <w:bodyDiv w:val="1"/>
      <w:marLeft w:val="0"/>
      <w:marRight w:val="0"/>
      <w:marTop w:val="0"/>
      <w:marBottom w:val="0"/>
      <w:divBdr>
        <w:top w:val="none" w:sz="0" w:space="0" w:color="auto"/>
        <w:left w:val="none" w:sz="0" w:space="0" w:color="auto"/>
        <w:bottom w:val="none" w:sz="0" w:space="0" w:color="auto"/>
        <w:right w:val="none" w:sz="0" w:space="0" w:color="auto"/>
      </w:divBdr>
    </w:div>
    <w:div w:id="1405185384">
      <w:bodyDiv w:val="1"/>
      <w:marLeft w:val="0"/>
      <w:marRight w:val="0"/>
      <w:marTop w:val="0"/>
      <w:marBottom w:val="0"/>
      <w:divBdr>
        <w:top w:val="none" w:sz="0" w:space="0" w:color="auto"/>
        <w:left w:val="none" w:sz="0" w:space="0" w:color="auto"/>
        <w:bottom w:val="none" w:sz="0" w:space="0" w:color="auto"/>
        <w:right w:val="none" w:sz="0" w:space="0" w:color="auto"/>
      </w:divBdr>
    </w:div>
    <w:div w:id="1422873990">
      <w:bodyDiv w:val="1"/>
      <w:marLeft w:val="0"/>
      <w:marRight w:val="0"/>
      <w:marTop w:val="0"/>
      <w:marBottom w:val="0"/>
      <w:divBdr>
        <w:top w:val="none" w:sz="0" w:space="0" w:color="auto"/>
        <w:left w:val="none" w:sz="0" w:space="0" w:color="auto"/>
        <w:bottom w:val="none" w:sz="0" w:space="0" w:color="auto"/>
        <w:right w:val="none" w:sz="0" w:space="0" w:color="auto"/>
      </w:divBdr>
    </w:div>
    <w:div w:id="1862277093">
      <w:bodyDiv w:val="1"/>
      <w:marLeft w:val="0"/>
      <w:marRight w:val="0"/>
      <w:marTop w:val="0"/>
      <w:marBottom w:val="0"/>
      <w:divBdr>
        <w:top w:val="none" w:sz="0" w:space="0" w:color="auto"/>
        <w:left w:val="none" w:sz="0" w:space="0" w:color="auto"/>
        <w:bottom w:val="none" w:sz="0" w:space="0" w:color="auto"/>
        <w:right w:val="none" w:sz="0" w:space="0" w:color="auto"/>
      </w:divBdr>
    </w:div>
    <w:div w:id="2026665462">
      <w:bodyDiv w:val="1"/>
      <w:marLeft w:val="0"/>
      <w:marRight w:val="0"/>
      <w:marTop w:val="0"/>
      <w:marBottom w:val="0"/>
      <w:divBdr>
        <w:top w:val="none" w:sz="0" w:space="0" w:color="auto"/>
        <w:left w:val="none" w:sz="0" w:space="0" w:color="auto"/>
        <w:bottom w:val="none" w:sz="0" w:space="0" w:color="auto"/>
        <w:right w:val="none" w:sz="0" w:space="0" w:color="auto"/>
      </w:divBdr>
    </w:div>
    <w:div w:id="2051416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2601BE7-E32B-4201-9366-19256718262E}">
  <ds:schemaRefs>
    <ds:schemaRef ds:uri="http://schemas.openxmlformats.org/officeDocument/2006/bibliography"/>
  </ds:schemaRefs>
</ds:datastoreItem>
</file>

<file path=customXml/itemProps2.xml><?xml version="1.0" encoding="utf-8"?>
<ds:datastoreItem xmlns:ds="http://schemas.openxmlformats.org/officeDocument/2006/customXml" ds:itemID="{69952790-4EBF-481E-8376-FE62EF052D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3A020F-C79F-4126-A924-A5569F12E27A}">
  <ds:schemaRefs>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13850</TotalTime>
  <Pages>6</Pages>
  <Words>2140</Words>
  <Characters>11950</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14062</CharactersWithSpaces>
  <SharedDoc>false</SharedDoc>
  <HLinks>
    <vt:vector size="312" baseType="variant">
      <vt:variant>
        <vt:i4>1507382</vt:i4>
      </vt:variant>
      <vt:variant>
        <vt:i4>236</vt:i4>
      </vt:variant>
      <vt:variant>
        <vt:i4>0</vt:i4>
      </vt:variant>
      <vt:variant>
        <vt:i4>5</vt:i4>
      </vt:variant>
      <vt:variant>
        <vt:lpwstr/>
      </vt:variant>
      <vt:variant>
        <vt:lpwstr>_Toc71532567</vt:lpwstr>
      </vt:variant>
      <vt:variant>
        <vt:i4>1441846</vt:i4>
      </vt:variant>
      <vt:variant>
        <vt:i4>233</vt:i4>
      </vt:variant>
      <vt:variant>
        <vt:i4>0</vt:i4>
      </vt:variant>
      <vt:variant>
        <vt:i4>5</vt:i4>
      </vt:variant>
      <vt:variant>
        <vt:lpwstr/>
      </vt:variant>
      <vt:variant>
        <vt:lpwstr>_Toc71532566</vt:lpwstr>
      </vt:variant>
      <vt:variant>
        <vt:i4>1376310</vt:i4>
      </vt:variant>
      <vt:variant>
        <vt:i4>230</vt:i4>
      </vt:variant>
      <vt:variant>
        <vt:i4>0</vt:i4>
      </vt:variant>
      <vt:variant>
        <vt:i4>5</vt:i4>
      </vt:variant>
      <vt:variant>
        <vt:lpwstr/>
      </vt:variant>
      <vt:variant>
        <vt:lpwstr>_Toc71532565</vt:lpwstr>
      </vt:variant>
      <vt:variant>
        <vt:i4>1310774</vt:i4>
      </vt:variant>
      <vt:variant>
        <vt:i4>227</vt:i4>
      </vt:variant>
      <vt:variant>
        <vt:i4>0</vt:i4>
      </vt:variant>
      <vt:variant>
        <vt:i4>5</vt:i4>
      </vt:variant>
      <vt:variant>
        <vt:lpwstr/>
      </vt:variant>
      <vt:variant>
        <vt:lpwstr>_Toc71532564</vt:lpwstr>
      </vt:variant>
      <vt:variant>
        <vt:i4>1245238</vt:i4>
      </vt:variant>
      <vt:variant>
        <vt:i4>224</vt:i4>
      </vt:variant>
      <vt:variant>
        <vt:i4>0</vt:i4>
      </vt:variant>
      <vt:variant>
        <vt:i4>5</vt:i4>
      </vt:variant>
      <vt:variant>
        <vt:lpwstr/>
      </vt:variant>
      <vt:variant>
        <vt:lpwstr>_Toc71532563</vt:lpwstr>
      </vt:variant>
      <vt:variant>
        <vt:i4>1179702</vt:i4>
      </vt:variant>
      <vt:variant>
        <vt:i4>221</vt:i4>
      </vt:variant>
      <vt:variant>
        <vt:i4>0</vt:i4>
      </vt:variant>
      <vt:variant>
        <vt:i4>5</vt:i4>
      </vt:variant>
      <vt:variant>
        <vt:lpwstr/>
      </vt:variant>
      <vt:variant>
        <vt:lpwstr>_Toc71532562</vt:lpwstr>
      </vt:variant>
      <vt:variant>
        <vt:i4>1114166</vt:i4>
      </vt:variant>
      <vt:variant>
        <vt:i4>218</vt:i4>
      </vt:variant>
      <vt:variant>
        <vt:i4>0</vt:i4>
      </vt:variant>
      <vt:variant>
        <vt:i4>5</vt:i4>
      </vt:variant>
      <vt:variant>
        <vt:lpwstr/>
      </vt:variant>
      <vt:variant>
        <vt:lpwstr>_Toc71532561</vt:lpwstr>
      </vt:variant>
      <vt:variant>
        <vt:i4>1048630</vt:i4>
      </vt:variant>
      <vt:variant>
        <vt:i4>215</vt:i4>
      </vt:variant>
      <vt:variant>
        <vt:i4>0</vt:i4>
      </vt:variant>
      <vt:variant>
        <vt:i4>5</vt:i4>
      </vt:variant>
      <vt:variant>
        <vt:lpwstr/>
      </vt:variant>
      <vt:variant>
        <vt:lpwstr>_Toc71532560</vt:lpwstr>
      </vt:variant>
      <vt:variant>
        <vt:i4>1638453</vt:i4>
      </vt:variant>
      <vt:variant>
        <vt:i4>212</vt:i4>
      </vt:variant>
      <vt:variant>
        <vt:i4>0</vt:i4>
      </vt:variant>
      <vt:variant>
        <vt:i4>5</vt:i4>
      </vt:variant>
      <vt:variant>
        <vt:lpwstr/>
      </vt:variant>
      <vt:variant>
        <vt:lpwstr>_Toc71532559</vt:lpwstr>
      </vt:variant>
      <vt:variant>
        <vt:i4>1572917</vt:i4>
      </vt:variant>
      <vt:variant>
        <vt:i4>209</vt:i4>
      </vt:variant>
      <vt:variant>
        <vt:i4>0</vt:i4>
      </vt:variant>
      <vt:variant>
        <vt:i4>5</vt:i4>
      </vt:variant>
      <vt:variant>
        <vt:lpwstr/>
      </vt:variant>
      <vt:variant>
        <vt:lpwstr>_Toc71532558</vt:lpwstr>
      </vt:variant>
      <vt:variant>
        <vt:i4>1507381</vt:i4>
      </vt:variant>
      <vt:variant>
        <vt:i4>206</vt:i4>
      </vt:variant>
      <vt:variant>
        <vt:i4>0</vt:i4>
      </vt:variant>
      <vt:variant>
        <vt:i4>5</vt:i4>
      </vt:variant>
      <vt:variant>
        <vt:lpwstr/>
      </vt:variant>
      <vt:variant>
        <vt:lpwstr>_Toc71532557</vt:lpwstr>
      </vt:variant>
      <vt:variant>
        <vt:i4>1441845</vt:i4>
      </vt:variant>
      <vt:variant>
        <vt:i4>203</vt:i4>
      </vt:variant>
      <vt:variant>
        <vt:i4>0</vt:i4>
      </vt:variant>
      <vt:variant>
        <vt:i4>5</vt:i4>
      </vt:variant>
      <vt:variant>
        <vt:lpwstr/>
      </vt:variant>
      <vt:variant>
        <vt:lpwstr>_Toc71532556</vt:lpwstr>
      </vt:variant>
      <vt:variant>
        <vt:i4>1376309</vt:i4>
      </vt:variant>
      <vt:variant>
        <vt:i4>200</vt:i4>
      </vt:variant>
      <vt:variant>
        <vt:i4>0</vt:i4>
      </vt:variant>
      <vt:variant>
        <vt:i4>5</vt:i4>
      </vt:variant>
      <vt:variant>
        <vt:lpwstr/>
      </vt:variant>
      <vt:variant>
        <vt:lpwstr>_Toc71532555</vt:lpwstr>
      </vt:variant>
      <vt:variant>
        <vt:i4>1310773</vt:i4>
      </vt:variant>
      <vt:variant>
        <vt:i4>197</vt:i4>
      </vt:variant>
      <vt:variant>
        <vt:i4>0</vt:i4>
      </vt:variant>
      <vt:variant>
        <vt:i4>5</vt:i4>
      </vt:variant>
      <vt:variant>
        <vt:lpwstr/>
      </vt:variant>
      <vt:variant>
        <vt:lpwstr>_Toc71532554</vt:lpwstr>
      </vt:variant>
      <vt:variant>
        <vt:i4>1245237</vt:i4>
      </vt:variant>
      <vt:variant>
        <vt:i4>194</vt:i4>
      </vt:variant>
      <vt:variant>
        <vt:i4>0</vt:i4>
      </vt:variant>
      <vt:variant>
        <vt:i4>5</vt:i4>
      </vt:variant>
      <vt:variant>
        <vt:lpwstr/>
      </vt:variant>
      <vt:variant>
        <vt:lpwstr>_Toc71532553</vt:lpwstr>
      </vt:variant>
      <vt:variant>
        <vt:i4>1179701</vt:i4>
      </vt:variant>
      <vt:variant>
        <vt:i4>191</vt:i4>
      </vt:variant>
      <vt:variant>
        <vt:i4>0</vt:i4>
      </vt:variant>
      <vt:variant>
        <vt:i4>5</vt:i4>
      </vt:variant>
      <vt:variant>
        <vt:lpwstr/>
      </vt:variant>
      <vt:variant>
        <vt:lpwstr>_Toc71532552</vt:lpwstr>
      </vt:variant>
      <vt:variant>
        <vt:i4>1114165</vt:i4>
      </vt:variant>
      <vt:variant>
        <vt:i4>188</vt:i4>
      </vt:variant>
      <vt:variant>
        <vt:i4>0</vt:i4>
      </vt:variant>
      <vt:variant>
        <vt:i4>5</vt:i4>
      </vt:variant>
      <vt:variant>
        <vt:lpwstr/>
      </vt:variant>
      <vt:variant>
        <vt:lpwstr>_Toc71532551</vt:lpwstr>
      </vt:variant>
      <vt:variant>
        <vt:i4>1048629</vt:i4>
      </vt:variant>
      <vt:variant>
        <vt:i4>185</vt:i4>
      </vt:variant>
      <vt:variant>
        <vt:i4>0</vt:i4>
      </vt:variant>
      <vt:variant>
        <vt:i4>5</vt:i4>
      </vt:variant>
      <vt:variant>
        <vt:lpwstr/>
      </vt:variant>
      <vt:variant>
        <vt:lpwstr>_Toc71532550</vt:lpwstr>
      </vt:variant>
      <vt:variant>
        <vt:i4>1638452</vt:i4>
      </vt:variant>
      <vt:variant>
        <vt:i4>182</vt:i4>
      </vt:variant>
      <vt:variant>
        <vt:i4>0</vt:i4>
      </vt:variant>
      <vt:variant>
        <vt:i4>5</vt:i4>
      </vt:variant>
      <vt:variant>
        <vt:lpwstr/>
      </vt:variant>
      <vt:variant>
        <vt:lpwstr>_Toc71532549</vt:lpwstr>
      </vt:variant>
      <vt:variant>
        <vt:i4>1572916</vt:i4>
      </vt:variant>
      <vt:variant>
        <vt:i4>179</vt:i4>
      </vt:variant>
      <vt:variant>
        <vt:i4>0</vt:i4>
      </vt:variant>
      <vt:variant>
        <vt:i4>5</vt:i4>
      </vt:variant>
      <vt:variant>
        <vt:lpwstr/>
      </vt:variant>
      <vt:variant>
        <vt:lpwstr>_Toc71532548</vt:lpwstr>
      </vt:variant>
      <vt:variant>
        <vt:i4>1507380</vt:i4>
      </vt:variant>
      <vt:variant>
        <vt:i4>176</vt:i4>
      </vt:variant>
      <vt:variant>
        <vt:i4>0</vt:i4>
      </vt:variant>
      <vt:variant>
        <vt:i4>5</vt:i4>
      </vt:variant>
      <vt:variant>
        <vt:lpwstr/>
      </vt:variant>
      <vt:variant>
        <vt:lpwstr>_Toc71532547</vt:lpwstr>
      </vt:variant>
      <vt:variant>
        <vt:i4>1441844</vt:i4>
      </vt:variant>
      <vt:variant>
        <vt:i4>173</vt:i4>
      </vt:variant>
      <vt:variant>
        <vt:i4>0</vt:i4>
      </vt:variant>
      <vt:variant>
        <vt:i4>5</vt:i4>
      </vt:variant>
      <vt:variant>
        <vt:lpwstr/>
      </vt:variant>
      <vt:variant>
        <vt:lpwstr>_Toc71532546</vt:lpwstr>
      </vt:variant>
      <vt:variant>
        <vt:i4>1376308</vt:i4>
      </vt:variant>
      <vt:variant>
        <vt:i4>170</vt:i4>
      </vt:variant>
      <vt:variant>
        <vt:i4>0</vt:i4>
      </vt:variant>
      <vt:variant>
        <vt:i4>5</vt:i4>
      </vt:variant>
      <vt:variant>
        <vt:lpwstr/>
      </vt:variant>
      <vt:variant>
        <vt:lpwstr>_Toc71532545</vt:lpwstr>
      </vt:variant>
      <vt:variant>
        <vt:i4>1310772</vt:i4>
      </vt:variant>
      <vt:variant>
        <vt:i4>167</vt:i4>
      </vt:variant>
      <vt:variant>
        <vt:i4>0</vt:i4>
      </vt:variant>
      <vt:variant>
        <vt:i4>5</vt:i4>
      </vt:variant>
      <vt:variant>
        <vt:lpwstr/>
      </vt:variant>
      <vt:variant>
        <vt:lpwstr>_Toc71532544</vt:lpwstr>
      </vt:variant>
      <vt:variant>
        <vt:i4>1245236</vt:i4>
      </vt:variant>
      <vt:variant>
        <vt:i4>164</vt:i4>
      </vt:variant>
      <vt:variant>
        <vt:i4>0</vt:i4>
      </vt:variant>
      <vt:variant>
        <vt:i4>5</vt:i4>
      </vt:variant>
      <vt:variant>
        <vt:lpwstr/>
      </vt:variant>
      <vt:variant>
        <vt:lpwstr>_Toc71532543</vt:lpwstr>
      </vt:variant>
      <vt:variant>
        <vt:i4>1179700</vt:i4>
      </vt:variant>
      <vt:variant>
        <vt:i4>161</vt:i4>
      </vt:variant>
      <vt:variant>
        <vt:i4>0</vt:i4>
      </vt:variant>
      <vt:variant>
        <vt:i4>5</vt:i4>
      </vt:variant>
      <vt:variant>
        <vt:lpwstr/>
      </vt:variant>
      <vt:variant>
        <vt:lpwstr>_Toc71532542</vt:lpwstr>
      </vt:variant>
      <vt:variant>
        <vt:i4>1114164</vt:i4>
      </vt:variant>
      <vt:variant>
        <vt:i4>158</vt:i4>
      </vt:variant>
      <vt:variant>
        <vt:i4>0</vt:i4>
      </vt:variant>
      <vt:variant>
        <vt:i4>5</vt:i4>
      </vt:variant>
      <vt:variant>
        <vt:lpwstr/>
      </vt:variant>
      <vt:variant>
        <vt:lpwstr>_Toc71532541</vt:lpwstr>
      </vt:variant>
      <vt:variant>
        <vt:i4>1048628</vt:i4>
      </vt:variant>
      <vt:variant>
        <vt:i4>155</vt:i4>
      </vt:variant>
      <vt:variant>
        <vt:i4>0</vt:i4>
      </vt:variant>
      <vt:variant>
        <vt:i4>5</vt:i4>
      </vt:variant>
      <vt:variant>
        <vt:lpwstr/>
      </vt:variant>
      <vt:variant>
        <vt:lpwstr>_Toc71532540</vt:lpwstr>
      </vt:variant>
      <vt:variant>
        <vt:i4>1638451</vt:i4>
      </vt:variant>
      <vt:variant>
        <vt:i4>152</vt:i4>
      </vt:variant>
      <vt:variant>
        <vt:i4>0</vt:i4>
      </vt:variant>
      <vt:variant>
        <vt:i4>5</vt:i4>
      </vt:variant>
      <vt:variant>
        <vt:lpwstr/>
      </vt:variant>
      <vt:variant>
        <vt:lpwstr>_Toc71532539</vt:lpwstr>
      </vt:variant>
      <vt:variant>
        <vt:i4>1572915</vt:i4>
      </vt:variant>
      <vt:variant>
        <vt:i4>149</vt:i4>
      </vt:variant>
      <vt:variant>
        <vt:i4>0</vt:i4>
      </vt:variant>
      <vt:variant>
        <vt:i4>5</vt:i4>
      </vt:variant>
      <vt:variant>
        <vt:lpwstr/>
      </vt:variant>
      <vt:variant>
        <vt:lpwstr>_Toc71532538</vt:lpwstr>
      </vt:variant>
      <vt:variant>
        <vt:i4>1507379</vt:i4>
      </vt:variant>
      <vt:variant>
        <vt:i4>146</vt:i4>
      </vt:variant>
      <vt:variant>
        <vt:i4>0</vt:i4>
      </vt:variant>
      <vt:variant>
        <vt:i4>5</vt:i4>
      </vt:variant>
      <vt:variant>
        <vt:lpwstr/>
      </vt:variant>
      <vt:variant>
        <vt:lpwstr>_Toc71532537</vt:lpwstr>
      </vt:variant>
      <vt:variant>
        <vt:i4>1441843</vt:i4>
      </vt:variant>
      <vt:variant>
        <vt:i4>143</vt:i4>
      </vt:variant>
      <vt:variant>
        <vt:i4>0</vt:i4>
      </vt:variant>
      <vt:variant>
        <vt:i4>5</vt:i4>
      </vt:variant>
      <vt:variant>
        <vt:lpwstr/>
      </vt:variant>
      <vt:variant>
        <vt:lpwstr>_Toc71532536</vt:lpwstr>
      </vt:variant>
      <vt:variant>
        <vt:i4>1376307</vt:i4>
      </vt:variant>
      <vt:variant>
        <vt:i4>140</vt:i4>
      </vt:variant>
      <vt:variant>
        <vt:i4>0</vt:i4>
      </vt:variant>
      <vt:variant>
        <vt:i4>5</vt:i4>
      </vt:variant>
      <vt:variant>
        <vt:lpwstr/>
      </vt:variant>
      <vt:variant>
        <vt:lpwstr>_Toc71532535</vt:lpwstr>
      </vt:variant>
      <vt:variant>
        <vt:i4>1310771</vt:i4>
      </vt:variant>
      <vt:variant>
        <vt:i4>137</vt:i4>
      </vt:variant>
      <vt:variant>
        <vt:i4>0</vt:i4>
      </vt:variant>
      <vt:variant>
        <vt:i4>5</vt:i4>
      </vt:variant>
      <vt:variant>
        <vt:lpwstr/>
      </vt:variant>
      <vt:variant>
        <vt:lpwstr>_Toc71532534</vt:lpwstr>
      </vt:variant>
      <vt:variant>
        <vt:i4>1245235</vt:i4>
      </vt:variant>
      <vt:variant>
        <vt:i4>134</vt:i4>
      </vt:variant>
      <vt:variant>
        <vt:i4>0</vt:i4>
      </vt:variant>
      <vt:variant>
        <vt:i4>5</vt:i4>
      </vt:variant>
      <vt:variant>
        <vt:lpwstr/>
      </vt:variant>
      <vt:variant>
        <vt:lpwstr>_Toc71532533</vt:lpwstr>
      </vt:variant>
      <vt:variant>
        <vt:i4>1179699</vt:i4>
      </vt:variant>
      <vt:variant>
        <vt:i4>131</vt:i4>
      </vt:variant>
      <vt:variant>
        <vt:i4>0</vt:i4>
      </vt:variant>
      <vt:variant>
        <vt:i4>5</vt:i4>
      </vt:variant>
      <vt:variant>
        <vt:lpwstr/>
      </vt:variant>
      <vt:variant>
        <vt:lpwstr>_Toc71532532</vt:lpwstr>
      </vt:variant>
      <vt:variant>
        <vt:i4>1114163</vt:i4>
      </vt:variant>
      <vt:variant>
        <vt:i4>128</vt:i4>
      </vt:variant>
      <vt:variant>
        <vt:i4>0</vt:i4>
      </vt:variant>
      <vt:variant>
        <vt:i4>5</vt:i4>
      </vt:variant>
      <vt:variant>
        <vt:lpwstr/>
      </vt:variant>
      <vt:variant>
        <vt:lpwstr>_Toc71532531</vt:lpwstr>
      </vt:variant>
      <vt:variant>
        <vt:i4>1048627</vt:i4>
      </vt:variant>
      <vt:variant>
        <vt:i4>122</vt:i4>
      </vt:variant>
      <vt:variant>
        <vt:i4>0</vt:i4>
      </vt:variant>
      <vt:variant>
        <vt:i4>5</vt:i4>
      </vt:variant>
      <vt:variant>
        <vt:lpwstr/>
      </vt:variant>
      <vt:variant>
        <vt:lpwstr>_Toc71532530</vt:lpwstr>
      </vt:variant>
      <vt:variant>
        <vt:i4>1638450</vt:i4>
      </vt:variant>
      <vt:variant>
        <vt:i4>119</vt:i4>
      </vt:variant>
      <vt:variant>
        <vt:i4>0</vt:i4>
      </vt:variant>
      <vt:variant>
        <vt:i4>5</vt:i4>
      </vt:variant>
      <vt:variant>
        <vt:lpwstr/>
      </vt:variant>
      <vt:variant>
        <vt:lpwstr>_Toc71532529</vt:lpwstr>
      </vt:variant>
      <vt:variant>
        <vt:i4>1572914</vt:i4>
      </vt:variant>
      <vt:variant>
        <vt:i4>116</vt:i4>
      </vt:variant>
      <vt:variant>
        <vt:i4>0</vt:i4>
      </vt:variant>
      <vt:variant>
        <vt:i4>5</vt:i4>
      </vt:variant>
      <vt:variant>
        <vt:lpwstr/>
      </vt:variant>
      <vt:variant>
        <vt:lpwstr>_Toc71532528</vt:lpwstr>
      </vt:variant>
      <vt:variant>
        <vt:i4>1507378</vt:i4>
      </vt:variant>
      <vt:variant>
        <vt:i4>113</vt:i4>
      </vt:variant>
      <vt:variant>
        <vt:i4>0</vt:i4>
      </vt:variant>
      <vt:variant>
        <vt:i4>5</vt:i4>
      </vt:variant>
      <vt:variant>
        <vt:lpwstr/>
      </vt:variant>
      <vt:variant>
        <vt:lpwstr>_Toc71532527</vt:lpwstr>
      </vt:variant>
      <vt:variant>
        <vt:i4>1441842</vt:i4>
      </vt:variant>
      <vt:variant>
        <vt:i4>110</vt:i4>
      </vt:variant>
      <vt:variant>
        <vt:i4>0</vt:i4>
      </vt:variant>
      <vt:variant>
        <vt:i4>5</vt:i4>
      </vt:variant>
      <vt:variant>
        <vt:lpwstr/>
      </vt:variant>
      <vt:variant>
        <vt:lpwstr>_Toc71532526</vt:lpwstr>
      </vt:variant>
      <vt:variant>
        <vt:i4>1376306</vt:i4>
      </vt:variant>
      <vt:variant>
        <vt:i4>107</vt:i4>
      </vt:variant>
      <vt:variant>
        <vt:i4>0</vt:i4>
      </vt:variant>
      <vt:variant>
        <vt:i4>5</vt:i4>
      </vt:variant>
      <vt:variant>
        <vt:lpwstr/>
      </vt:variant>
      <vt:variant>
        <vt:lpwstr>_Toc71532525</vt:lpwstr>
      </vt:variant>
      <vt:variant>
        <vt:i4>1310770</vt:i4>
      </vt:variant>
      <vt:variant>
        <vt:i4>104</vt:i4>
      </vt:variant>
      <vt:variant>
        <vt:i4>0</vt:i4>
      </vt:variant>
      <vt:variant>
        <vt:i4>5</vt:i4>
      </vt:variant>
      <vt:variant>
        <vt:lpwstr/>
      </vt:variant>
      <vt:variant>
        <vt:lpwstr>_Toc71532524</vt:lpwstr>
      </vt:variant>
      <vt:variant>
        <vt:i4>1245234</vt:i4>
      </vt:variant>
      <vt:variant>
        <vt:i4>101</vt:i4>
      </vt:variant>
      <vt:variant>
        <vt:i4>0</vt:i4>
      </vt:variant>
      <vt:variant>
        <vt:i4>5</vt:i4>
      </vt:variant>
      <vt:variant>
        <vt:lpwstr/>
      </vt:variant>
      <vt:variant>
        <vt:lpwstr>_Toc71532523</vt:lpwstr>
      </vt:variant>
      <vt:variant>
        <vt:i4>1179698</vt:i4>
      </vt:variant>
      <vt:variant>
        <vt:i4>98</vt:i4>
      </vt:variant>
      <vt:variant>
        <vt:i4>0</vt:i4>
      </vt:variant>
      <vt:variant>
        <vt:i4>5</vt:i4>
      </vt:variant>
      <vt:variant>
        <vt:lpwstr/>
      </vt:variant>
      <vt:variant>
        <vt:lpwstr>_Toc71532522</vt:lpwstr>
      </vt:variant>
      <vt:variant>
        <vt:i4>1114162</vt:i4>
      </vt:variant>
      <vt:variant>
        <vt:i4>95</vt:i4>
      </vt:variant>
      <vt:variant>
        <vt:i4>0</vt:i4>
      </vt:variant>
      <vt:variant>
        <vt:i4>5</vt:i4>
      </vt:variant>
      <vt:variant>
        <vt:lpwstr/>
      </vt:variant>
      <vt:variant>
        <vt:lpwstr>_Toc71532521</vt:lpwstr>
      </vt:variant>
      <vt:variant>
        <vt:i4>1048626</vt:i4>
      </vt:variant>
      <vt:variant>
        <vt:i4>92</vt:i4>
      </vt:variant>
      <vt:variant>
        <vt:i4>0</vt:i4>
      </vt:variant>
      <vt:variant>
        <vt:i4>5</vt:i4>
      </vt:variant>
      <vt:variant>
        <vt:lpwstr/>
      </vt:variant>
      <vt:variant>
        <vt:lpwstr>_Toc71532520</vt:lpwstr>
      </vt:variant>
      <vt:variant>
        <vt:i4>1638449</vt:i4>
      </vt:variant>
      <vt:variant>
        <vt:i4>89</vt:i4>
      </vt:variant>
      <vt:variant>
        <vt:i4>0</vt:i4>
      </vt:variant>
      <vt:variant>
        <vt:i4>5</vt:i4>
      </vt:variant>
      <vt:variant>
        <vt:lpwstr/>
      </vt:variant>
      <vt:variant>
        <vt:lpwstr>_Toc71532519</vt:lpwstr>
      </vt:variant>
      <vt:variant>
        <vt:i4>1572913</vt:i4>
      </vt:variant>
      <vt:variant>
        <vt:i4>86</vt:i4>
      </vt:variant>
      <vt:variant>
        <vt:i4>0</vt:i4>
      </vt:variant>
      <vt:variant>
        <vt:i4>5</vt:i4>
      </vt:variant>
      <vt:variant>
        <vt:lpwstr/>
      </vt:variant>
      <vt:variant>
        <vt:lpwstr>_Toc71532518</vt:lpwstr>
      </vt:variant>
      <vt:variant>
        <vt:i4>1507377</vt:i4>
      </vt:variant>
      <vt:variant>
        <vt:i4>83</vt:i4>
      </vt:variant>
      <vt:variant>
        <vt:i4>0</vt:i4>
      </vt:variant>
      <vt:variant>
        <vt:i4>5</vt:i4>
      </vt:variant>
      <vt:variant>
        <vt:lpwstr/>
      </vt:variant>
      <vt:variant>
        <vt:lpwstr>_Toc71532517</vt:lpwstr>
      </vt:variant>
      <vt:variant>
        <vt:i4>1441841</vt:i4>
      </vt:variant>
      <vt:variant>
        <vt:i4>80</vt:i4>
      </vt:variant>
      <vt:variant>
        <vt:i4>0</vt:i4>
      </vt:variant>
      <vt:variant>
        <vt:i4>5</vt:i4>
      </vt:variant>
      <vt:variant>
        <vt:lpwstr/>
      </vt:variant>
      <vt:variant>
        <vt:lpwstr>_Toc71532516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Claes Tidestav</cp:lastModifiedBy>
  <cp:revision>433</cp:revision>
  <cp:lastPrinted>2021-01-08T23:59:00Z</cp:lastPrinted>
  <dcterms:created xsi:type="dcterms:W3CDTF">2021-04-05T23:12:00Z</dcterms:created>
  <dcterms:modified xsi:type="dcterms:W3CDTF">2022-04-25T10:44:00Z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